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B4B" w:rsidRPr="001E7C1A" w:rsidRDefault="00007B4B" w:rsidP="00047211">
      <w:pPr>
        <w:spacing w:after="0" w:line="240" w:lineRule="auto"/>
        <w:jc w:val="both"/>
        <w:rPr>
          <w:rFonts w:ascii="Times New Roman" w:hAnsi="Times New Roman" w:cs="Times New Roman"/>
        </w:rPr>
      </w:pPr>
    </w:p>
    <w:p w:rsidR="007B6198" w:rsidRPr="00BB15BC" w:rsidRDefault="0000608F" w:rsidP="00047211">
      <w:pPr>
        <w:pStyle w:val="Title"/>
        <w:spacing w:after="0"/>
        <w:jc w:val="center"/>
        <w:rPr>
          <w:rFonts w:ascii="Times New Roman" w:hAnsi="Times New Roman" w:cs="Times New Roman"/>
          <w:sz w:val="40"/>
          <w:szCs w:val="40"/>
        </w:rPr>
      </w:pPr>
      <w:r w:rsidRPr="00BB15BC">
        <w:rPr>
          <w:rFonts w:ascii="Times New Roman" w:hAnsi="Times New Roman" w:cs="Times New Roman"/>
          <w:sz w:val="40"/>
          <w:szCs w:val="40"/>
        </w:rPr>
        <w:t>Marshall School of Business, USC</w:t>
      </w:r>
    </w:p>
    <w:p w:rsidR="00D6256E" w:rsidRPr="00BB15BC" w:rsidRDefault="0000608F" w:rsidP="00047211">
      <w:pPr>
        <w:pStyle w:val="Title"/>
        <w:spacing w:after="0"/>
        <w:jc w:val="center"/>
        <w:rPr>
          <w:rFonts w:ascii="Times New Roman" w:hAnsi="Times New Roman" w:cs="Times New Roman"/>
          <w:sz w:val="40"/>
          <w:szCs w:val="40"/>
        </w:rPr>
      </w:pPr>
      <w:r w:rsidRPr="00BB15BC">
        <w:rPr>
          <w:rFonts w:ascii="Times New Roman" w:hAnsi="Times New Roman" w:cs="Times New Roman"/>
          <w:sz w:val="40"/>
          <w:szCs w:val="40"/>
        </w:rPr>
        <w:t xml:space="preserve">Business </w:t>
      </w:r>
      <w:r w:rsidR="00D6256E" w:rsidRPr="00BB15BC">
        <w:rPr>
          <w:rFonts w:ascii="Times New Roman" w:hAnsi="Times New Roman" w:cs="Times New Roman"/>
          <w:sz w:val="40"/>
          <w:szCs w:val="40"/>
        </w:rPr>
        <w:t>Field Project</w:t>
      </w:r>
    </w:p>
    <w:p w:rsidR="0000608F" w:rsidRPr="001E7C1A" w:rsidRDefault="0000608F" w:rsidP="00047211">
      <w:pPr>
        <w:pStyle w:val="Title"/>
        <w:spacing w:after="0"/>
        <w:jc w:val="center"/>
        <w:rPr>
          <w:rFonts w:ascii="Times New Roman" w:hAnsi="Times New Roman" w:cs="Times New Roman"/>
          <w:sz w:val="24"/>
          <w:szCs w:val="24"/>
        </w:rPr>
      </w:pPr>
      <w:r w:rsidRPr="001E7C1A">
        <w:rPr>
          <w:rFonts w:ascii="Times New Roman" w:hAnsi="Times New Roman" w:cs="Times New Roman"/>
          <w:sz w:val="24"/>
          <w:szCs w:val="24"/>
        </w:rPr>
        <w:t>at</w:t>
      </w:r>
    </w:p>
    <w:p w:rsidR="00D6256E" w:rsidRPr="00BB15BC" w:rsidRDefault="00D6256E" w:rsidP="00047211">
      <w:pPr>
        <w:pStyle w:val="Title"/>
        <w:spacing w:after="0"/>
        <w:jc w:val="center"/>
        <w:rPr>
          <w:rFonts w:ascii="Times New Roman" w:hAnsi="Times New Roman" w:cs="Times New Roman"/>
          <w:sz w:val="40"/>
          <w:szCs w:val="40"/>
        </w:rPr>
      </w:pPr>
      <w:r w:rsidRPr="00BB15BC">
        <w:rPr>
          <w:rFonts w:ascii="Times New Roman" w:hAnsi="Times New Roman" w:cs="Times New Roman"/>
          <w:sz w:val="40"/>
          <w:szCs w:val="40"/>
        </w:rPr>
        <w:t>Health Net, Inc. Investment Department</w:t>
      </w:r>
    </w:p>
    <w:p w:rsidR="00D6256E" w:rsidRPr="001E7C1A" w:rsidRDefault="00D6256E" w:rsidP="00047211">
      <w:pPr>
        <w:pStyle w:val="Title"/>
        <w:spacing w:after="0"/>
        <w:jc w:val="center"/>
        <w:rPr>
          <w:rFonts w:ascii="Times New Roman" w:hAnsi="Times New Roman" w:cs="Times New Roman"/>
        </w:rPr>
      </w:pPr>
    </w:p>
    <w:p w:rsidR="00BB15BC" w:rsidRDefault="00BB15BC" w:rsidP="00047211">
      <w:pPr>
        <w:pStyle w:val="Title"/>
        <w:spacing w:after="0"/>
        <w:jc w:val="center"/>
        <w:rPr>
          <w:rFonts w:ascii="Times New Roman" w:hAnsi="Times New Roman" w:cs="Times New Roman"/>
        </w:rPr>
      </w:pPr>
    </w:p>
    <w:p w:rsidR="00BB15BC" w:rsidRDefault="00BB15BC" w:rsidP="00047211">
      <w:pPr>
        <w:pStyle w:val="Title"/>
        <w:spacing w:after="0"/>
        <w:jc w:val="center"/>
        <w:rPr>
          <w:rFonts w:ascii="Times New Roman" w:hAnsi="Times New Roman" w:cs="Times New Roman"/>
        </w:rPr>
      </w:pPr>
    </w:p>
    <w:p w:rsidR="00BB15BC" w:rsidRDefault="00BB15BC" w:rsidP="00047211">
      <w:pPr>
        <w:pStyle w:val="Title"/>
        <w:spacing w:after="0"/>
        <w:jc w:val="center"/>
        <w:rPr>
          <w:rFonts w:ascii="Times New Roman" w:hAnsi="Times New Roman" w:cs="Times New Roman"/>
        </w:rPr>
      </w:pPr>
    </w:p>
    <w:p w:rsidR="00BB15BC" w:rsidRDefault="00BB15BC" w:rsidP="00047211">
      <w:pPr>
        <w:pStyle w:val="Title"/>
        <w:spacing w:after="0"/>
        <w:jc w:val="center"/>
        <w:rPr>
          <w:rFonts w:ascii="Times New Roman" w:hAnsi="Times New Roman" w:cs="Times New Roman"/>
        </w:rPr>
      </w:pPr>
    </w:p>
    <w:p w:rsidR="00BB15BC" w:rsidRDefault="00BB15BC" w:rsidP="00047211">
      <w:pPr>
        <w:pStyle w:val="Title"/>
        <w:spacing w:after="0"/>
        <w:jc w:val="center"/>
        <w:rPr>
          <w:rFonts w:ascii="Times New Roman" w:hAnsi="Times New Roman" w:cs="Times New Roman"/>
        </w:rPr>
      </w:pPr>
    </w:p>
    <w:p w:rsidR="00BB15BC" w:rsidRDefault="00BB15BC" w:rsidP="00047211">
      <w:pPr>
        <w:pStyle w:val="Title"/>
        <w:spacing w:after="0"/>
        <w:jc w:val="center"/>
        <w:rPr>
          <w:rFonts w:ascii="Times New Roman" w:hAnsi="Times New Roman" w:cs="Times New Roman"/>
        </w:rPr>
      </w:pPr>
    </w:p>
    <w:p w:rsidR="00D6256E" w:rsidRPr="001E7C1A" w:rsidRDefault="0049137A" w:rsidP="00047211">
      <w:pPr>
        <w:pStyle w:val="Title"/>
        <w:spacing w:after="0"/>
        <w:jc w:val="center"/>
        <w:rPr>
          <w:rFonts w:ascii="Times New Roman" w:hAnsi="Times New Roman" w:cs="Times New Roman"/>
        </w:rPr>
      </w:pPr>
      <w:r>
        <w:t xml:space="preserve">Hedging the volatility of </w:t>
      </w:r>
      <w:r w:rsidR="00D6256E" w:rsidRPr="001E7C1A">
        <w:rPr>
          <w:rFonts w:ascii="Times New Roman" w:hAnsi="Times New Roman" w:cs="Times New Roman"/>
        </w:rPr>
        <w:t>Claim Expense</w:t>
      </w:r>
      <w:r w:rsidR="000C7013">
        <w:rPr>
          <w:rFonts w:ascii="Times New Roman" w:hAnsi="Times New Roman" w:cs="Times New Roman"/>
        </w:rPr>
        <w:t>s</w:t>
      </w:r>
      <w:r w:rsidR="00D6256E" w:rsidRPr="001E7C1A">
        <w:rPr>
          <w:rFonts w:ascii="Times New Roman" w:hAnsi="Times New Roman" w:cs="Times New Roman"/>
        </w:rPr>
        <w:t xml:space="preserve"> </w:t>
      </w:r>
      <w:r>
        <w:rPr>
          <w:rFonts w:ascii="Times New Roman" w:hAnsi="Times New Roman" w:cs="Times New Roman"/>
        </w:rPr>
        <w:t xml:space="preserve">using </w:t>
      </w:r>
      <w:r w:rsidR="00D6256E" w:rsidRPr="001E7C1A">
        <w:rPr>
          <w:rFonts w:ascii="Times New Roman" w:hAnsi="Times New Roman" w:cs="Times New Roman"/>
        </w:rPr>
        <w:t>Weather Future Contracts</w:t>
      </w:r>
      <w:r w:rsidR="00BB15BC">
        <w:rPr>
          <w:rFonts w:ascii="Times New Roman" w:hAnsi="Times New Roman" w:cs="Times New Roman"/>
        </w:rPr>
        <w:t xml:space="preserve"> </w:t>
      </w: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BB15BC" w:rsidRDefault="00BB15BC" w:rsidP="00047211">
      <w:pPr>
        <w:pStyle w:val="Title"/>
        <w:spacing w:after="0"/>
        <w:jc w:val="center"/>
        <w:rPr>
          <w:rFonts w:ascii="Times New Roman" w:hAnsi="Times New Roman" w:cs="Times New Roman"/>
          <w:sz w:val="24"/>
          <w:szCs w:val="24"/>
        </w:rPr>
      </w:pPr>
    </w:p>
    <w:p w:rsidR="0049137A" w:rsidRDefault="0049137A" w:rsidP="00047211">
      <w:pPr>
        <w:pStyle w:val="Title"/>
        <w:spacing w:after="0"/>
        <w:jc w:val="center"/>
        <w:rPr>
          <w:rFonts w:ascii="Times New Roman" w:hAnsi="Times New Roman" w:cs="Times New Roman"/>
          <w:sz w:val="24"/>
          <w:szCs w:val="24"/>
        </w:rPr>
      </w:pPr>
    </w:p>
    <w:p w:rsidR="00D6256E" w:rsidRPr="001E7C1A" w:rsidRDefault="0000608F" w:rsidP="00047211">
      <w:pPr>
        <w:pStyle w:val="Title"/>
        <w:spacing w:after="0"/>
        <w:jc w:val="center"/>
        <w:rPr>
          <w:rFonts w:ascii="Times New Roman" w:hAnsi="Times New Roman" w:cs="Times New Roman"/>
          <w:sz w:val="24"/>
          <w:szCs w:val="24"/>
        </w:rPr>
      </w:pPr>
      <w:r w:rsidRPr="001E7C1A">
        <w:rPr>
          <w:rFonts w:ascii="Times New Roman" w:hAnsi="Times New Roman" w:cs="Times New Roman"/>
          <w:sz w:val="24"/>
          <w:szCs w:val="24"/>
        </w:rPr>
        <w:t>by</w:t>
      </w:r>
    </w:p>
    <w:p w:rsidR="0000608F" w:rsidRPr="001E7C1A" w:rsidRDefault="00D6256E" w:rsidP="00047211">
      <w:pPr>
        <w:pStyle w:val="Title"/>
        <w:spacing w:after="0"/>
        <w:jc w:val="center"/>
        <w:rPr>
          <w:rFonts w:ascii="Times New Roman" w:hAnsi="Times New Roman" w:cs="Times New Roman"/>
          <w:sz w:val="24"/>
          <w:szCs w:val="24"/>
        </w:rPr>
      </w:pPr>
      <w:r w:rsidRPr="00BB15BC">
        <w:rPr>
          <w:rFonts w:ascii="Times New Roman" w:hAnsi="Times New Roman" w:cs="Times New Roman"/>
          <w:sz w:val="40"/>
          <w:szCs w:val="40"/>
        </w:rPr>
        <w:t xml:space="preserve">Aram </w:t>
      </w:r>
      <w:proofErr w:type="spellStart"/>
      <w:r w:rsidRPr="00BB15BC">
        <w:rPr>
          <w:rFonts w:ascii="Times New Roman" w:hAnsi="Times New Roman" w:cs="Times New Roman"/>
          <w:sz w:val="40"/>
          <w:szCs w:val="40"/>
        </w:rPr>
        <w:t>Gabrielyan</w:t>
      </w:r>
      <w:proofErr w:type="spellEnd"/>
      <w:r w:rsidR="0000608F" w:rsidRPr="001E7C1A">
        <w:rPr>
          <w:rFonts w:ascii="Times New Roman" w:hAnsi="Times New Roman" w:cs="Times New Roman"/>
        </w:rPr>
        <w:t xml:space="preserve"> </w:t>
      </w:r>
      <w:r w:rsidR="0000608F" w:rsidRPr="001E7C1A">
        <w:rPr>
          <w:rFonts w:ascii="Times New Roman" w:hAnsi="Times New Roman" w:cs="Times New Roman"/>
          <w:sz w:val="24"/>
          <w:szCs w:val="24"/>
        </w:rPr>
        <w:t>MSBA Candidate</w:t>
      </w:r>
    </w:p>
    <w:p w:rsidR="0000608F" w:rsidRPr="001E7C1A" w:rsidRDefault="0000608F" w:rsidP="00047211">
      <w:pPr>
        <w:pStyle w:val="Title"/>
        <w:spacing w:after="0"/>
        <w:jc w:val="center"/>
        <w:rPr>
          <w:rFonts w:ascii="Times New Roman" w:hAnsi="Times New Roman" w:cs="Times New Roman"/>
          <w:sz w:val="24"/>
          <w:szCs w:val="24"/>
        </w:rPr>
      </w:pPr>
      <w:r w:rsidRPr="001E7C1A">
        <w:rPr>
          <w:rFonts w:ascii="Times New Roman" w:hAnsi="Times New Roman" w:cs="Times New Roman"/>
          <w:sz w:val="24"/>
          <w:szCs w:val="24"/>
        </w:rPr>
        <w:t>co written by</w:t>
      </w:r>
    </w:p>
    <w:p w:rsidR="0000608F" w:rsidRDefault="0000608F" w:rsidP="00047211">
      <w:pPr>
        <w:pStyle w:val="Title"/>
        <w:spacing w:after="0"/>
        <w:jc w:val="center"/>
        <w:rPr>
          <w:rFonts w:ascii="Times New Roman" w:hAnsi="Times New Roman" w:cs="Times New Roman"/>
          <w:sz w:val="24"/>
          <w:szCs w:val="24"/>
        </w:rPr>
      </w:pPr>
      <w:proofErr w:type="spellStart"/>
      <w:r w:rsidRPr="001E7C1A">
        <w:rPr>
          <w:rFonts w:ascii="Times New Roman" w:hAnsi="Times New Roman" w:cs="Times New Roman"/>
          <w:sz w:val="36"/>
          <w:szCs w:val="36"/>
        </w:rPr>
        <w:t>Emin</w:t>
      </w:r>
      <w:proofErr w:type="spellEnd"/>
      <w:r w:rsidRPr="001E7C1A">
        <w:rPr>
          <w:rFonts w:ascii="Times New Roman" w:hAnsi="Times New Roman" w:cs="Times New Roman"/>
          <w:sz w:val="36"/>
          <w:szCs w:val="36"/>
        </w:rPr>
        <w:t xml:space="preserve"> </w:t>
      </w:r>
      <w:proofErr w:type="spellStart"/>
      <w:r w:rsidRPr="001E7C1A">
        <w:rPr>
          <w:rFonts w:ascii="Times New Roman" w:hAnsi="Times New Roman" w:cs="Times New Roman"/>
          <w:sz w:val="36"/>
          <w:szCs w:val="36"/>
        </w:rPr>
        <w:t>Gabrielyan</w:t>
      </w:r>
      <w:proofErr w:type="spellEnd"/>
      <w:r w:rsidRPr="001E7C1A">
        <w:rPr>
          <w:rFonts w:ascii="Times New Roman" w:hAnsi="Times New Roman" w:cs="Times New Roman"/>
        </w:rPr>
        <w:t xml:space="preserve"> </w:t>
      </w:r>
      <w:r w:rsidRPr="001E7C1A">
        <w:rPr>
          <w:rFonts w:ascii="Times New Roman" w:hAnsi="Times New Roman" w:cs="Times New Roman"/>
          <w:sz w:val="24"/>
          <w:szCs w:val="24"/>
        </w:rPr>
        <w:t xml:space="preserve">PHD </w:t>
      </w:r>
    </w:p>
    <w:sdt>
      <w:sdtPr>
        <w:rPr>
          <w:rFonts w:ascii="Times New Roman" w:eastAsiaTheme="minorHAnsi" w:hAnsi="Times New Roman" w:cs="Times New Roman"/>
          <w:b w:val="0"/>
          <w:bCs w:val="0"/>
          <w:color w:val="auto"/>
          <w:sz w:val="22"/>
          <w:szCs w:val="22"/>
        </w:rPr>
        <w:id w:val="14173522"/>
        <w:docPartObj>
          <w:docPartGallery w:val="Table of Contents"/>
          <w:docPartUnique/>
        </w:docPartObj>
      </w:sdtPr>
      <w:sdtEndPr>
        <w:rPr>
          <w:sz w:val="28"/>
          <w:szCs w:val="28"/>
        </w:rPr>
      </w:sdtEndPr>
      <w:sdtContent>
        <w:p w:rsidR="0000608F" w:rsidRPr="00A91591" w:rsidRDefault="0000608F" w:rsidP="0016042C">
          <w:pPr>
            <w:pStyle w:val="TOCHeading"/>
            <w:spacing w:before="0" w:line="480" w:lineRule="auto"/>
            <w:jc w:val="both"/>
            <w:rPr>
              <w:rFonts w:ascii="Times New Roman" w:hAnsi="Times New Roman" w:cs="Times New Roman"/>
              <w:sz w:val="32"/>
              <w:szCs w:val="32"/>
            </w:rPr>
          </w:pPr>
          <w:r w:rsidRPr="00A91591">
            <w:rPr>
              <w:rFonts w:ascii="Times New Roman" w:hAnsi="Times New Roman" w:cs="Times New Roman"/>
              <w:sz w:val="32"/>
              <w:szCs w:val="32"/>
            </w:rPr>
            <w:t>Table of Contents</w:t>
          </w:r>
        </w:p>
        <w:p w:rsidR="00D11F5F" w:rsidRPr="00D11F5F" w:rsidRDefault="00735044" w:rsidP="00EE2E1C">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r w:rsidRPr="00D11F5F">
            <w:rPr>
              <w:rFonts w:ascii="Times New Roman" w:hAnsi="Times New Roman" w:cs="Times New Roman"/>
              <w:sz w:val="28"/>
              <w:szCs w:val="28"/>
            </w:rPr>
            <w:fldChar w:fldCharType="begin"/>
          </w:r>
          <w:r w:rsidR="0000608F" w:rsidRPr="00D11F5F">
            <w:rPr>
              <w:rFonts w:ascii="Times New Roman" w:hAnsi="Times New Roman" w:cs="Times New Roman"/>
              <w:sz w:val="28"/>
              <w:szCs w:val="28"/>
            </w:rPr>
            <w:instrText xml:space="preserve"> TOC \o "1-3" \h \z \u </w:instrText>
          </w:r>
          <w:r w:rsidRPr="00D11F5F">
            <w:rPr>
              <w:rFonts w:ascii="Times New Roman" w:hAnsi="Times New Roman" w:cs="Times New Roman"/>
              <w:sz w:val="28"/>
              <w:szCs w:val="28"/>
            </w:rPr>
            <w:fldChar w:fldCharType="separate"/>
          </w:r>
          <w:hyperlink w:anchor="_Toc238794110" w:history="1">
            <w:r w:rsidR="00D11F5F" w:rsidRPr="00D11F5F">
              <w:rPr>
                <w:rStyle w:val="Hyperlink"/>
                <w:rFonts w:ascii="Times New Roman" w:hAnsi="Times New Roman" w:cs="Times New Roman"/>
                <w:noProof/>
                <w:sz w:val="28"/>
                <w:szCs w:val="28"/>
              </w:rPr>
              <w:t>Overview</w:t>
            </w:r>
            <w:r w:rsidR="00D11F5F" w:rsidRPr="00D11F5F">
              <w:rPr>
                <w:rFonts w:ascii="Times New Roman" w:hAnsi="Times New Roman" w:cs="Times New Roman"/>
                <w:noProof/>
                <w:webHidden/>
                <w:sz w:val="28"/>
                <w:szCs w:val="28"/>
              </w:rPr>
              <w:tab/>
            </w:r>
            <w:r w:rsidR="00D11F5F" w:rsidRPr="00D11F5F">
              <w:rPr>
                <w:rFonts w:ascii="Times New Roman" w:hAnsi="Times New Roman" w:cs="Times New Roman"/>
                <w:noProof/>
                <w:webHidden/>
                <w:sz w:val="28"/>
                <w:szCs w:val="28"/>
              </w:rPr>
              <w:fldChar w:fldCharType="begin"/>
            </w:r>
            <w:r w:rsidR="00D11F5F" w:rsidRPr="00D11F5F">
              <w:rPr>
                <w:rFonts w:ascii="Times New Roman" w:hAnsi="Times New Roman" w:cs="Times New Roman"/>
                <w:noProof/>
                <w:webHidden/>
                <w:sz w:val="28"/>
                <w:szCs w:val="28"/>
              </w:rPr>
              <w:instrText xml:space="preserve"> PAGEREF _Toc238794110 \h </w:instrText>
            </w:r>
            <w:r w:rsidR="00D11F5F" w:rsidRPr="00D11F5F">
              <w:rPr>
                <w:rFonts w:ascii="Times New Roman" w:hAnsi="Times New Roman" w:cs="Times New Roman"/>
                <w:noProof/>
                <w:webHidden/>
                <w:sz w:val="28"/>
                <w:szCs w:val="28"/>
              </w:rPr>
            </w:r>
            <w:r w:rsidR="00D11F5F" w:rsidRPr="00D11F5F">
              <w:rPr>
                <w:rFonts w:ascii="Times New Roman" w:hAnsi="Times New Roman" w:cs="Times New Roman"/>
                <w:noProof/>
                <w:webHidden/>
                <w:sz w:val="28"/>
                <w:szCs w:val="28"/>
              </w:rPr>
              <w:fldChar w:fldCharType="separate"/>
            </w:r>
            <w:r w:rsidR="00D11F5F" w:rsidRPr="00D11F5F">
              <w:rPr>
                <w:rFonts w:ascii="Times New Roman" w:hAnsi="Times New Roman" w:cs="Times New Roman"/>
                <w:noProof/>
                <w:webHidden/>
                <w:sz w:val="28"/>
                <w:szCs w:val="28"/>
              </w:rPr>
              <w:t>3</w:t>
            </w:r>
            <w:r w:rsidR="00D11F5F"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1" w:history="1">
            <w:r w:rsidRPr="00D11F5F">
              <w:rPr>
                <w:rStyle w:val="Hyperlink"/>
                <w:rFonts w:ascii="Times New Roman" w:hAnsi="Times New Roman" w:cs="Times New Roman"/>
                <w:noProof/>
                <w:sz w:val="28"/>
                <w:szCs w:val="28"/>
              </w:rPr>
              <w:t>Influenza Like Illnesses (ILI) and Temperature Correlation</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_Toc238794111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4</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2" w:history="1">
            <w:r w:rsidRPr="00D11F5F">
              <w:rPr>
                <w:rStyle w:val="Hyperlink"/>
                <w:rFonts w:ascii="Times New Roman" w:hAnsi="Times New Roman" w:cs="Times New Roman"/>
                <w:noProof/>
                <w:sz w:val="28"/>
                <w:szCs w:val="28"/>
              </w:rPr>
              <w:t>HDD</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_Toc238794112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6</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3" w:history="1">
            <w:r w:rsidRPr="00D11F5F">
              <w:rPr>
                <w:rStyle w:val="Hyperlink"/>
                <w:rFonts w:ascii="Times New Roman" w:hAnsi="Times New Roman" w:cs="Times New Roman"/>
                <w:noProof/>
                <w:sz w:val="28"/>
                <w:szCs w:val="28"/>
              </w:rPr>
              <w:t>ILI as a Function of Temperature</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_Toc238794113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7</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4" w:history="1">
            <w:r w:rsidRPr="00D11F5F">
              <w:rPr>
                <w:rStyle w:val="Hyperlink"/>
                <w:rFonts w:ascii="Times New Roman" w:hAnsi="Times New Roman" w:cs="Times New Roman"/>
                <w:noProof/>
                <w:sz w:val="28"/>
                <w:szCs w:val="28"/>
              </w:rPr>
              <w:t>Scaling Expenses to HDD</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_Toc238794114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8</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5" w:history="1">
            <w:r w:rsidRPr="00D11F5F">
              <w:rPr>
                <w:rStyle w:val="Hyperlink"/>
                <w:rFonts w:ascii="Times New Roman" w:hAnsi="Times New Roman" w:cs="Times New Roman"/>
                <w:noProof/>
                <w:sz w:val="28"/>
                <w:szCs w:val="28"/>
              </w:rPr>
              <w:t>Cost of Debt</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_Toc238794115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9</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6" w:history="1">
            <w:r w:rsidRPr="00D11F5F">
              <w:rPr>
                <w:rStyle w:val="Hyperlink"/>
                <w:rFonts w:ascii="Times New Roman" w:hAnsi="Times New Roman" w:cs="Times New Roman"/>
                <w:noProof/>
                <w:sz w:val="28"/>
                <w:szCs w:val="28"/>
              </w:rPr>
              <w:t>Price probability density transformation</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_Toc238794116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10</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7" w:history="1">
            <w:r w:rsidRPr="00D11F5F">
              <w:rPr>
                <w:rStyle w:val="Hyperlink"/>
                <w:rFonts w:ascii="Times New Roman" w:hAnsi="Times New Roman" w:cs="Times New Roman"/>
                <w:noProof/>
                <w:sz w:val="28"/>
                <w:szCs w:val="28"/>
              </w:rPr>
              <w:t>Neutral (right) price of Futures</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_Toc238794117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11</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8" w:history="1">
            <w:r w:rsidRPr="00D11F5F">
              <w:rPr>
                <w:rStyle w:val="Hyperlink"/>
                <w:rFonts w:ascii="Times New Roman" w:hAnsi="Times New Roman" w:cs="Times New Roman"/>
                <w:noProof/>
                <w:sz w:val="28"/>
                <w:szCs w:val="28"/>
              </w:rPr>
              <w:t>Probability density function of insured costs and futures with right prices</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_Toc238794118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16</w:t>
            </w:r>
            <w:r w:rsidRPr="00D11F5F">
              <w:rPr>
                <w:rFonts w:ascii="Times New Roman" w:hAnsi="Times New Roman" w:cs="Times New Roman"/>
                <w:noProof/>
                <w:webHidden/>
                <w:sz w:val="28"/>
                <w:szCs w:val="28"/>
              </w:rPr>
              <w:fldChar w:fldCharType="end"/>
            </w:r>
          </w:hyperlink>
        </w:p>
        <w:p w:rsidR="00D11F5F" w:rsidRPr="00D11F5F" w:rsidRDefault="00D11F5F" w:rsidP="00D11F5F">
          <w:pPr>
            <w:pStyle w:val="TOC1"/>
            <w:tabs>
              <w:tab w:val="right" w:leader="dot" w:pos="9350"/>
            </w:tabs>
            <w:spacing w:before="100" w:beforeAutospacing="1" w:afterAutospacing="1" w:line="480" w:lineRule="auto"/>
            <w:rPr>
              <w:rFonts w:ascii="Times New Roman" w:eastAsiaTheme="minorEastAsia" w:hAnsi="Times New Roman" w:cs="Times New Roman"/>
              <w:noProof/>
              <w:sz w:val="28"/>
              <w:szCs w:val="28"/>
            </w:rPr>
          </w:pPr>
          <w:hyperlink w:anchor="_Toc238794119" w:history="1">
            <w:r w:rsidRPr="00D11F5F">
              <w:rPr>
                <w:rStyle w:val="Hyperlink"/>
                <w:rFonts w:ascii="Times New Roman" w:hAnsi="Times New Roman" w:cs="Times New Roman"/>
                <w:noProof/>
                <w:sz w:val="28"/>
                <w:szCs w:val="28"/>
              </w:rPr>
              <w:t>Finding the optimal strike price and volume of futures</w:t>
            </w:r>
            <w:r w:rsidRPr="00D11F5F">
              <w:rPr>
                <w:rFonts w:ascii="Times New Roman" w:hAnsi="Times New Roman" w:cs="Times New Roman"/>
                <w:noProof/>
                <w:webHidden/>
                <w:sz w:val="28"/>
                <w:szCs w:val="28"/>
              </w:rPr>
              <w:tab/>
            </w:r>
            <w:r w:rsidRPr="00D11F5F">
              <w:rPr>
                <w:rFonts w:ascii="Times New Roman" w:hAnsi="Times New Roman" w:cs="Times New Roman"/>
                <w:noProof/>
                <w:webHidden/>
                <w:sz w:val="28"/>
                <w:szCs w:val="28"/>
              </w:rPr>
              <w:fldChar w:fldCharType="begin"/>
            </w:r>
            <w:r w:rsidRPr="00D11F5F">
              <w:rPr>
                <w:rFonts w:ascii="Times New Roman" w:hAnsi="Times New Roman" w:cs="Times New Roman"/>
                <w:noProof/>
                <w:webHidden/>
                <w:sz w:val="28"/>
                <w:szCs w:val="28"/>
              </w:rPr>
              <w:instrText xml:space="preserve"> PAGEREF _Toc238794119 \h </w:instrText>
            </w:r>
            <w:r w:rsidRPr="00D11F5F">
              <w:rPr>
                <w:rFonts w:ascii="Times New Roman" w:hAnsi="Times New Roman" w:cs="Times New Roman"/>
                <w:noProof/>
                <w:webHidden/>
                <w:sz w:val="28"/>
                <w:szCs w:val="28"/>
              </w:rPr>
            </w:r>
            <w:r w:rsidRPr="00D11F5F">
              <w:rPr>
                <w:rFonts w:ascii="Times New Roman" w:hAnsi="Times New Roman" w:cs="Times New Roman"/>
                <w:noProof/>
                <w:webHidden/>
                <w:sz w:val="28"/>
                <w:szCs w:val="28"/>
              </w:rPr>
              <w:fldChar w:fldCharType="separate"/>
            </w:r>
            <w:r w:rsidRPr="00D11F5F">
              <w:rPr>
                <w:rFonts w:ascii="Times New Roman" w:hAnsi="Times New Roman" w:cs="Times New Roman"/>
                <w:noProof/>
                <w:webHidden/>
                <w:sz w:val="28"/>
                <w:szCs w:val="28"/>
              </w:rPr>
              <w:t>19</w:t>
            </w:r>
            <w:r w:rsidRPr="00D11F5F">
              <w:rPr>
                <w:rFonts w:ascii="Times New Roman" w:hAnsi="Times New Roman" w:cs="Times New Roman"/>
                <w:noProof/>
                <w:webHidden/>
                <w:sz w:val="28"/>
                <w:szCs w:val="28"/>
              </w:rPr>
              <w:fldChar w:fldCharType="end"/>
            </w:r>
          </w:hyperlink>
        </w:p>
        <w:p w:rsidR="0000608F" w:rsidRPr="00D11F5F" w:rsidRDefault="00735044" w:rsidP="00D11F5F">
          <w:pPr>
            <w:spacing w:before="100" w:beforeAutospacing="1" w:after="100" w:afterAutospacing="1" w:line="480" w:lineRule="auto"/>
            <w:jc w:val="both"/>
            <w:rPr>
              <w:rFonts w:ascii="Times New Roman" w:hAnsi="Times New Roman" w:cs="Times New Roman"/>
              <w:sz w:val="28"/>
              <w:szCs w:val="28"/>
            </w:rPr>
          </w:pPr>
          <w:r w:rsidRPr="00D11F5F">
            <w:rPr>
              <w:rFonts w:ascii="Times New Roman" w:hAnsi="Times New Roman" w:cs="Times New Roman"/>
              <w:sz w:val="28"/>
              <w:szCs w:val="28"/>
            </w:rPr>
            <w:fldChar w:fldCharType="end"/>
          </w:r>
        </w:p>
      </w:sdtContent>
    </w:sdt>
    <w:p w:rsidR="0000608F" w:rsidRPr="001E7C1A" w:rsidRDefault="0000608F" w:rsidP="00047211">
      <w:pPr>
        <w:pStyle w:val="Heading1"/>
        <w:spacing w:before="0" w:line="480" w:lineRule="auto"/>
        <w:jc w:val="both"/>
        <w:rPr>
          <w:rFonts w:ascii="Times New Roman" w:hAnsi="Times New Roman" w:cs="Times New Roman"/>
        </w:rPr>
      </w:pPr>
      <w:r w:rsidRPr="001E7C1A">
        <w:rPr>
          <w:rFonts w:ascii="Times New Roman" w:hAnsi="Times New Roman" w:cs="Times New Roman"/>
        </w:rPr>
        <w:br w:type="page"/>
      </w:r>
    </w:p>
    <w:p w:rsidR="0000608F" w:rsidRPr="001E7C1A" w:rsidRDefault="0000608F" w:rsidP="00047211">
      <w:pPr>
        <w:pStyle w:val="Heading1"/>
        <w:spacing w:before="0" w:line="480" w:lineRule="auto"/>
        <w:jc w:val="both"/>
        <w:rPr>
          <w:rFonts w:ascii="Times New Roman" w:hAnsi="Times New Roman" w:cs="Times New Roman"/>
        </w:rPr>
      </w:pPr>
      <w:bookmarkStart w:id="0" w:name="_Toc238794110"/>
      <w:r w:rsidRPr="001E7C1A">
        <w:rPr>
          <w:rFonts w:ascii="Times New Roman" w:hAnsi="Times New Roman" w:cs="Times New Roman"/>
        </w:rPr>
        <w:lastRenderedPageBreak/>
        <w:t>Overview</w:t>
      </w:r>
      <w:bookmarkEnd w:id="0"/>
    </w:p>
    <w:p w:rsidR="001E7C1A" w:rsidRPr="001E7C1A" w:rsidRDefault="001E7C1A" w:rsidP="00DF434F">
      <w:pPr>
        <w:spacing w:after="0" w:line="480" w:lineRule="auto"/>
        <w:jc w:val="both"/>
        <w:rPr>
          <w:rFonts w:ascii="Times New Roman" w:hAnsi="Times New Roman" w:cs="Times New Roman"/>
        </w:rPr>
      </w:pPr>
      <w:r w:rsidRPr="001E7C1A">
        <w:rPr>
          <w:rFonts w:ascii="Times New Roman" w:hAnsi="Times New Roman" w:cs="Times New Roman"/>
        </w:rPr>
        <w:t>The purpose of the paper is to identify the correlation between weather temperature patterns and Health Net, Inc. operation expenses and propose cost hedging strategy using weather future contracts. The strategy is meant to decrease the volatility of Company’s claim expenses throughout the year.</w:t>
      </w:r>
    </w:p>
    <w:p w:rsidR="001E7C1A" w:rsidRPr="001E7C1A" w:rsidRDefault="001E7C1A" w:rsidP="00DF434F">
      <w:pPr>
        <w:spacing w:after="0" w:line="480" w:lineRule="auto"/>
        <w:jc w:val="both"/>
        <w:rPr>
          <w:rFonts w:ascii="Times New Roman" w:hAnsi="Times New Roman" w:cs="Times New Roman"/>
        </w:rPr>
      </w:pPr>
      <w:r w:rsidRPr="001E7C1A">
        <w:rPr>
          <w:rFonts w:ascii="Times New Roman" w:hAnsi="Times New Roman" w:cs="Times New Roman"/>
        </w:rPr>
        <w:t>Observation of historical data indicates that flu related illnesses consistently start from November and last until May of each year.  The following chart shows 2008 to 2009 flu trend in California.</w:t>
      </w:r>
    </w:p>
    <w:p w:rsidR="001E7C1A" w:rsidRPr="001E7C1A" w:rsidRDefault="00735044" w:rsidP="00047211">
      <w:pPr>
        <w:spacing w:after="0" w:line="480" w:lineRule="auto"/>
        <w:jc w:val="both"/>
        <w:rPr>
          <w:rFonts w:ascii="Times New Roman" w:hAnsi="Times New Roman" w:cs="Times New Roman"/>
          <w:sz w:val="16"/>
        </w:rPr>
      </w:pPr>
      <w:r w:rsidRPr="00735044">
        <w:rPr>
          <w:rFonts w:ascii="Times New Roman" w:hAnsi="Times New Roman" w:cs="Times New Roman"/>
          <w:noProof/>
          <w:sz w:val="20"/>
        </w:rPr>
        <w:pict>
          <v:shapetype id="_x0000_t202" coordsize="21600,21600" o:spt="202" path="m,l,21600r21600,l21600,xe">
            <v:stroke joinstyle="miter"/>
            <v:path gradientshapeok="t" o:connecttype="rect"/>
          </v:shapetype>
          <v:shape id="_x0000_s1026" type="#_x0000_t202" style="position:absolute;left:0;text-align:left;margin-left:0;margin-top:161.65pt;width:270pt;height:18pt;z-index:-251661824;mso-wrap-edited:f" wrapcoords="-60 0 -60 20700 21600 20700 21600 0 -60 0" stroked="f">
            <v:textbox style="mso-next-textbox:#_x0000_s1026">
              <w:txbxContent>
                <w:p w:rsidR="001E7C1A" w:rsidRPr="00DF41CB" w:rsidRDefault="001E7C1A" w:rsidP="001E7C1A">
                  <w:pPr>
                    <w:rPr>
                      <w:rFonts w:ascii="Times New Roman" w:hAnsi="Times New Roman" w:cs="Times New Roman"/>
                    </w:rPr>
                  </w:pPr>
                  <w:r w:rsidRPr="00DF41CB">
                    <w:rPr>
                      <w:rFonts w:ascii="Times New Roman" w:hAnsi="Times New Roman" w:cs="Times New Roman"/>
                      <w:sz w:val="16"/>
                    </w:rPr>
                    <w:t xml:space="preserve">Chart 1: California Flu Activity </w:t>
                  </w:r>
                  <w:hyperlink r:id="rId5" w:history="1">
                    <w:r w:rsidRPr="00DF41CB">
                      <w:rPr>
                        <w:rStyle w:val="Hyperlink"/>
                        <w:rFonts w:ascii="Times New Roman" w:hAnsi="Times New Roman" w:cs="Times New Roman"/>
                        <w:sz w:val="16"/>
                      </w:rPr>
                      <w:t>http://www.google.org/flutrends/intl/en_us/</w:t>
                    </w:r>
                  </w:hyperlink>
                </w:p>
              </w:txbxContent>
            </v:textbox>
          </v:shape>
        </w:pict>
      </w:r>
      <w:r w:rsidR="001E7C1A" w:rsidRPr="001E7C1A">
        <w:rPr>
          <w:rFonts w:ascii="Times New Roman" w:hAnsi="Times New Roman" w:cs="Times New Roman"/>
        </w:rPr>
        <w:object w:dxaOrig="7829"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59.75pt" o:ole="">
            <v:imagedata r:id="rId6" o:title=""/>
          </v:shape>
          <o:OLEObject Type="Embed" ProgID="PBrush" ShapeID="_x0000_i1025" DrawAspect="Content" ObjectID="_1312536500" r:id="rId7"/>
        </w:object>
      </w:r>
      <w:r w:rsidR="001E7C1A" w:rsidRPr="001E7C1A">
        <w:rPr>
          <w:rFonts w:ascii="Times New Roman" w:hAnsi="Times New Roman" w:cs="Times New Roman"/>
          <w:sz w:val="16"/>
        </w:rPr>
        <w:t xml:space="preserve"> </w:t>
      </w:r>
    </w:p>
    <w:p w:rsidR="001E7C1A" w:rsidRDefault="001E7C1A" w:rsidP="00047211">
      <w:pPr>
        <w:spacing w:after="0" w:line="480" w:lineRule="auto"/>
        <w:jc w:val="both"/>
        <w:rPr>
          <w:rFonts w:ascii="Times New Roman" w:hAnsi="Times New Roman" w:cs="Times New Roman"/>
        </w:rPr>
      </w:pP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 xml:space="preserve">As you can see the flu season picks during the coldest months of the year, December to March. The following chart shows the daily average weather temperature trend in California for the same period of the time. </w:t>
      </w:r>
    </w:p>
    <w:p w:rsidR="001E7C1A" w:rsidRPr="001E7C1A" w:rsidRDefault="00735044" w:rsidP="00047211">
      <w:pPr>
        <w:spacing w:after="0" w:line="480" w:lineRule="auto"/>
        <w:jc w:val="both"/>
        <w:rPr>
          <w:rFonts w:ascii="Times New Roman" w:hAnsi="Times New Roman" w:cs="Times New Roman"/>
        </w:rPr>
      </w:pPr>
      <w:r w:rsidRPr="00735044">
        <w:rPr>
          <w:rFonts w:ascii="Times New Roman" w:hAnsi="Times New Roman" w:cs="Times New Roman"/>
          <w:noProof/>
          <w:sz w:val="20"/>
        </w:rPr>
        <w:pict>
          <v:shape id="_x0000_s1027" type="#_x0000_t202" style="position:absolute;left:0;text-align:left;margin-left:0;margin-top:163.75pt;width:171pt;height:18pt;z-index:-251660800;mso-wrap-edited:f" wrapcoords="-60 0 -60 20700 21600 20700 21600 0 -60 0" stroked="f">
            <v:textbox style="mso-next-textbox:#_x0000_s1027">
              <w:txbxContent>
                <w:p w:rsidR="001E7C1A" w:rsidRPr="00DF41CB" w:rsidRDefault="001E7C1A" w:rsidP="001E7C1A">
                  <w:pPr>
                    <w:rPr>
                      <w:rFonts w:ascii="Times New Roman" w:hAnsi="Times New Roman" w:cs="Times New Roman"/>
                      <w:sz w:val="16"/>
                    </w:rPr>
                  </w:pPr>
                  <w:r w:rsidRPr="00DF41CB">
                    <w:rPr>
                      <w:rFonts w:ascii="Times New Roman" w:hAnsi="Times New Roman" w:cs="Times New Roman"/>
                      <w:sz w:val="16"/>
                    </w:rPr>
                    <w:t xml:space="preserve"> Chart 2: California Average Temperature Trend</w:t>
                  </w:r>
                </w:p>
              </w:txbxContent>
            </v:textbox>
          </v:shape>
        </w:pict>
      </w:r>
      <w:r w:rsidR="001E7C1A" w:rsidRPr="001E7C1A">
        <w:rPr>
          <w:rFonts w:ascii="Times New Roman" w:hAnsi="Times New Roman" w:cs="Times New Roman"/>
          <w:noProof/>
        </w:rPr>
        <w:drawing>
          <wp:inline distT="0" distB="0" distL="0" distR="0">
            <wp:extent cx="5486400" cy="19431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E7C1A" w:rsidRPr="001E7C1A" w:rsidRDefault="001E7C1A" w:rsidP="00047211">
      <w:pPr>
        <w:spacing w:after="0" w:line="480" w:lineRule="auto"/>
        <w:ind w:firstLine="720"/>
        <w:jc w:val="both"/>
        <w:rPr>
          <w:rFonts w:ascii="Times New Roman" w:hAnsi="Times New Roman" w:cs="Times New Roman"/>
        </w:rPr>
      </w:pP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lastRenderedPageBreak/>
        <w:t>The table bellow shows the number of Health Net’s provider claim receipts for California commercial members and the number of California commercial members.</w:t>
      </w:r>
    </w:p>
    <w:tbl>
      <w:tblPr>
        <w:tblW w:w="8655" w:type="dxa"/>
        <w:tblCellMar>
          <w:left w:w="0" w:type="dxa"/>
          <w:right w:w="0" w:type="dxa"/>
        </w:tblCellMar>
        <w:tblLook w:val="0000"/>
      </w:tblPr>
      <w:tblGrid>
        <w:gridCol w:w="1175"/>
        <w:gridCol w:w="640"/>
        <w:gridCol w:w="640"/>
        <w:gridCol w:w="640"/>
        <w:gridCol w:w="640"/>
        <w:gridCol w:w="640"/>
        <w:gridCol w:w="640"/>
        <w:gridCol w:w="640"/>
        <w:gridCol w:w="640"/>
        <w:gridCol w:w="640"/>
        <w:gridCol w:w="640"/>
        <w:gridCol w:w="640"/>
        <w:gridCol w:w="640"/>
      </w:tblGrid>
      <w:tr w:rsidR="001E7C1A" w:rsidRPr="001E7C1A" w:rsidTr="00763C86">
        <w:trPr>
          <w:trHeight w:val="312"/>
        </w:trPr>
        <w:tc>
          <w:tcPr>
            <w:tcW w:w="1167"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Jul-08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Aug-08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Sep-08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Oct-08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Nov-08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Dec-08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Jan-08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Feb-08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Mar-08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Apr-08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May-08</w:t>
            </w:r>
          </w:p>
        </w:tc>
        <w:tc>
          <w:tcPr>
            <w:tcW w:w="624"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2"/>
                <w:szCs w:val="12"/>
              </w:rPr>
            </w:pPr>
            <w:r w:rsidRPr="001E7C1A">
              <w:rPr>
                <w:rFonts w:ascii="Times New Roman" w:hAnsi="Times New Roman" w:cs="Times New Roman"/>
                <w:b/>
                <w:bCs/>
                <w:sz w:val="12"/>
                <w:szCs w:val="12"/>
              </w:rPr>
              <w:t>Jun-08</w:t>
            </w:r>
          </w:p>
        </w:tc>
      </w:tr>
      <w:tr w:rsidR="001E7C1A" w:rsidRPr="001E7C1A" w:rsidTr="00763C86">
        <w:trPr>
          <w:trHeight w:val="312"/>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Receipts</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429,160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438,524</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403,605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442,639</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391,065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408,075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428,135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444,627</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466,394</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453,089</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434,268</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424,140</w:t>
            </w:r>
          </w:p>
        </w:tc>
      </w:tr>
      <w:tr w:rsidR="001E7C1A" w:rsidRPr="001E7C1A" w:rsidTr="00763C86">
        <w:trPr>
          <w:trHeight w:val="312"/>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Membership</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1,296,915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1,292,110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1,290,667</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1,286,349</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1,282,481</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1,281,007</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1,331,490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1,318,908</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1,313,263</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1,304,342</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1,306,500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1,303,301</w:t>
            </w:r>
          </w:p>
        </w:tc>
      </w:tr>
      <w:tr w:rsidR="001E7C1A" w:rsidRPr="001E7C1A" w:rsidTr="00763C86">
        <w:trPr>
          <w:trHeight w:val="312"/>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Receipts per Member</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33.09%</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33.94%</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31.27%</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34.41%</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30.49%</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31.86%</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32.15%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33.71%</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35.51%</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34.74%</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33.24%</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2"/>
                <w:szCs w:val="12"/>
              </w:rPr>
            </w:pPr>
            <w:r w:rsidRPr="001E7C1A">
              <w:rPr>
                <w:rFonts w:ascii="Times New Roman" w:hAnsi="Times New Roman" w:cs="Times New Roman"/>
                <w:sz w:val="12"/>
                <w:szCs w:val="12"/>
              </w:rPr>
              <w:t>32.54%</w:t>
            </w:r>
          </w:p>
        </w:tc>
      </w:tr>
    </w:tbl>
    <w:p w:rsidR="001E7C1A" w:rsidRPr="001E7C1A" w:rsidRDefault="00735044" w:rsidP="00047211">
      <w:pPr>
        <w:spacing w:after="0" w:line="480" w:lineRule="auto"/>
        <w:ind w:firstLine="720"/>
        <w:jc w:val="both"/>
        <w:rPr>
          <w:rFonts w:ascii="Times New Roman" w:hAnsi="Times New Roman" w:cs="Times New Roman"/>
        </w:rPr>
      </w:pPr>
      <w:r w:rsidRPr="00735044">
        <w:rPr>
          <w:rFonts w:ascii="Times New Roman" w:hAnsi="Times New Roman" w:cs="Times New Roman"/>
          <w:noProof/>
          <w:sz w:val="20"/>
        </w:rPr>
        <w:pict>
          <v:shape id="_x0000_s1029" type="#_x0000_t202" style="position:absolute;left:0;text-align:left;margin-left:0;margin-top:8.4pt;width:414pt;height:18pt;z-index:-251658752;mso-wrap-edited:f;mso-position-horizontal-relative:text;mso-position-vertical-relative:text" wrapcoords="-60 0 -60 20700 21600 20700 21600 0 -60 0" stroked="f">
            <v:textbox style="mso-next-textbox:#_x0000_s1029">
              <w:txbxContent>
                <w:p w:rsidR="001E7C1A" w:rsidRPr="00DF41CB" w:rsidRDefault="001E7C1A" w:rsidP="001E7C1A">
                  <w:pPr>
                    <w:rPr>
                      <w:rFonts w:ascii="Times New Roman" w:hAnsi="Times New Roman" w:cs="Times New Roman"/>
                      <w:sz w:val="16"/>
                    </w:rPr>
                  </w:pPr>
                  <w:r w:rsidRPr="00DF41CB">
                    <w:rPr>
                      <w:rFonts w:ascii="Times New Roman" w:hAnsi="Times New Roman" w:cs="Times New Roman"/>
                      <w:sz w:val="16"/>
                    </w:rPr>
                    <w:t xml:space="preserve"> Table 1: CA Commercial Claim Receipts and Membership information</w:t>
                  </w:r>
                </w:p>
              </w:txbxContent>
            </v:textbox>
          </v:shape>
        </w:pict>
      </w:r>
    </w:p>
    <w:p w:rsidR="001E7C1A" w:rsidRPr="001E7C1A" w:rsidRDefault="00735044" w:rsidP="00047211">
      <w:pPr>
        <w:spacing w:after="0" w:line="480" w:lineRule="auto"/>
        <w:jc w:val="both"/>
        <w:rPr>
          <w:rFonts w:ascii="Times New Roman" w:hAnsi="Times New Roman" w:cs="Times New Roman"/>
          <w:sz w:val="16"/>
        </w:rPr>
      </w:pPr>
      <w:r w:rsidRPr="00735044">
        <w:rPr>
          <w:rFonts w:ascii="Times New Roman" w:hAnsi="Times New Roman" w:cs="Times New Roman"/>
          <w:noProof/>
          <w:sz w:val="20"/>
        </w:rPr>
        <w:pict>
          <v:shape id="_x0000_s1028" type="#_x0000_t202" style="position:absolute;left:0;text-align:left;margin-left:0;margin-top:133.8pt;width:252pt;height:18pt;z-index:-251659776;mso-wrap-edited:f" wrapcoords="-60 0 -60 20700 21600 20700 21600 0 -60 0" stroked="f">
            <v:textbox style="mso-next-textbox:#_x0000_s1028">
              <w:txbxContent>
                <w:p w:rsidR="001E7C1A" w:rsidRPr="00DF41CB" w:rsidRDefault="001E7C1A" w:rsidP="001E7C1A">
                  <w:pPr>
                    <w:rPr>
                      <w:rFonts w:ascii="Times New Roman" w:hAnsi="Times New Roman" w:cs="Times New Roman"/>
                    </w:rPr>
                  </w:pPr>
                  <w:r w:rsidRPr="00DF41CB">
                    <w:rPr>
                      <w:rFonts w:ascii="Times New Roman" w:hAnsi="Times New Roman" w:cs="Times New Roman"/>
                    </w:rPr>
                    <w:t xml:space="preserve"> </w:t>
                  </w:r>
                  <w:r w:rsidRPr="00DF41CB">
                    <w:rPr>
                      <w:rFonts w:ascii="Times New Roman" w:hAnsi="Times New Roman" w:cs="Times New Roman"/>
                      <w:sz w:val="16"/>
                    </w:rPr>
                    <w:t>Chart 3: Claims per Member. Health Net, Plan: CA, LOB: Commercial</w:t>
                  </w:r>
                </w:p>
              </w:txbxContent>
            </v:textbox>
          </v:shape>
        </w:pict>
      </w:r>
      <w:r w:rsidR="001E7C1A" w:rsidRPr="001E7C1A">
        <w:rPr>
          <w:rFonts w:ascii="Times New Roman" w:hAnsi="Times New Roman" w:cs="Times New Roman"/>
          <w:noProof/>
        </w:rPr>
        <w:drawing>
          <wp:inline distT="0" distB="0" distL="0" distR="0">
            <wp:extent cx="5600700" cy="169545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7C1A" w:rsidRPr="001E7C1A" w:rsidRDefault="001E7C1A" w:rsidP="00047211">
      <w:pPr>
        <w:spacing w:after="0" w:line="480" w:lineRule="auto"/>
        <w:jc w:val="both"/>
        <w:rPr>
          <w:rFonts w:ascii="Times New Roman" w:hAnsi="Times New Roman" w:cs="Times New Roman"/>
        </w:rPr>
      </w:pP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This analysis indica</w:t>
      </w:r>
      <w:r w:rsidR="00DB640C">
        <w:rPr>
          <w:rFonts w:ascii="Times New Roman" w:hAnsi="Times New Roman" w:cs="Times New Roman"/>
        </w:rPr>
        <w:t xml:space="preserve">tes that the number of receipts per member </w:t>
      </w:r>
      <w:r w:rsidRPr="001E7C1A">
        <w:rPr>
          <w:rFonts w:ascii="Times New Roman" w:hAnsi="Times New Roman" w:cs="Times New Roman"/>
        </w:rPr>
        <w:t xml:space="preserve">picks </w:t>
      </w:r>
      <w:r w:rsidR="00DB640C" w:rsidRPr="00DB640C">
        <w:rPr>
          <w:rFonts w:ascii="Times New Roman" w:hAnsi="Times New Roman" w:cs="Times New Roman"/>
          <w:b/>
        </w:rPr>
        <w:t>not</w:t>
      </w:r>
      <w:r w:rsidR="00DB640C">
        <w:rPr>
          <w:rFonts w:ascii="Times New Roman" w:hAnsi="Times New Roman" w:cs="Times New Roman"/>
        </w:rPr>
        <w:t xml:space="preserve"> in </w:t>
      </w:r>
      <w:r w:rsidRPr="001E7C1A">
        <w:rPr>
          <w:rFonts w:ascii="Times New Roman" w:hAnsi="Times New Roman" w:cs="Times New Roman"/>
        </w:rPr>
        <w:t>January-February, the coldest months of the year with the most flu related illnesses but in March. This perfectly correlates to the assumption of increased operating costs for managed health care companies during flu season. There is a lag time between a doctor visit and a claim submitted to the health insurance company by a provider. This lag time averages at a little above one month.</w:t>
      </w:r>
    </w:p>
    <w:p w:rsidR="00047211" w:rsidRPr="00FE2D1C" w:rsidRDefault="000C7013" w:rsidP="00047211">
      <w:pPr>
        <w:pStyle w:val="Heading1"/>
        <w:spacing w:line="480" w:lineRule="auto"/>
        <w:jc w:val="both"/>
        <w:rPr>
          <w:rFonts w:ascii="Times New Roman" w:hAnsi="Times New Roman" w:cs="Times New Roman"/>
        </w:rPr>
      </w:pPr>
      <w:bookmarkStart w:id="1" w:name="_Toc238794111"/>
      <w:r>
        <w:rPr>
          <w:rFonts w:ascii="Times New Roman" w:hAnsi="Times New Roman" w:cs="Times New Roman"/>
        </w:rPr>
        <w:t>Influenza Like Illnesses (</w:t>
      </w:r>
      <w:r w:rsidR="00047211" w:rsidRPr="00FE2D1C">
        <w:rPr>
          <w:rFonts w:ascii="Times New Roman" w:hAnsi="Times New Roman" w:cs="Times New Roman"/>
        </w:rPr>
        <w:t>ILI</w:t>
      </w:r>
      <w:r>
        <w:rPr>
          <w:rFonts w:ascii="Times New Roman" w:hAnsi="Times New Roman" w:cs="Times New Roman"/>
        </w:rPr>
        <w:t>)</w:t>
      </w:r>
      <w:r w:rsidR="00047211" w:rsidRPr="00FE2D1C">
        <w:rPr>
          <w:rFonts w:ascii="Times New Roman" w:hAnsi="Times New Roman" w:cs="Times New Roman"/>
        </w:rPr>
        <w:t xml:space="preserve"> and Temperature Correlation</w:t>
      </w:r>
      <w:bookmarkEnd w:id="1"/>
    </w:p>
    <w:p w:rsidR="00047211" w:rsidRDefault="00047211" w:rsidP="00047211">
      <w:pPr>
        <w:pStyle w:val="BodyText"/>
      </w:pPr>
      <w:r>
        <w:t xml:space="preserve">The regression analysis of ILI as a function of temperature indicates R=0.69 and R²=0.48. Low R² is explained by two factors: the ILI information presented by Center for Disease Control and Prevention (CDC) is presented in weekly break downs while the temperature information is in daily format. There is a margin of error in converting daily temperature to weekly format to be compared with ILI trend. Another factor is that individual observation points are not necessarily </w:t>
      </w:r>
      <w:r>
        <w:lastRenderedPageBreak/>
        <w:t>moving in opposite directions. However, the correlation between Temperature and ILI trend lines would hold significantly higher R².</w:t>
      </w:r>
    </w:p>
    <w:p w:rsidR="00047211" w:rsidRDefault="00735044" w:rsidP="00047211">
      <w:pPr>
        <w:spacing w:line="480" w:lineRule="auto"/>
        <w:jc w:val="both"/>
      </w:pPr>
      <w:r w:rsidRPr="00735044">
        <w:rPr>
          <w:noProof/>
          <w:sz w:val="20"/>
        </w:rPr>
        <w:pict>
          <v:shape id="_x0000_s1039" type="#_x0000_t202" style="position:absolute;left:0;text-align:left;margin-left:0;margin-top:255.3pt;width:289.5pt;height:30.75pt;z-index:-251663872;mso-wrap-edited:f" wrapcoords="-60 0 -60 20700 21600 20700 21600 0 -60 0" stroked="f">
            <v:textbox style="mso-next-textbox:#_x0000_s1039">
              <w:txbxContent>
                <w:p w:rsidR="00047211" w:rsidRPr="00047211" w:rsidRDefault="00047211" w:rsidP="00047211">
                  <w:pPr>
                    <w:spacing w:line="240" w:lineRule="auto"/>
                    <w:rPr>
                      <w:rFonts w:ascii="Times New Roman" w:hAnsi="Times New Roman" w:cs="Times New Roman"/>
                      <w:sz w:val="16"/>
                    </w:rPr>
                  </w:pPr>
                  <w:r>
                    <w:rPr>
                      <w:rFonts w:ascii="Times New Roman" w:hAnsi="Times New Roman" w:cs="Times New Roman"/>
                      <w:sz w:val="16"/>
                    </w:rPr>
                    <w:t xml:space="preserve"> Chart 4</w:t>
                  </w:r>
                  <w:r w:rsidRPr="00047211">
                    <w:rPr>
                      <w:rFonts w:ascii="Times New Roman" w:hAnsi="Times New Roman" w:cs="Times New Roman"/>
                      <w:sz w:val="16"/>
                    </w:rPr>
                    <w:t xml:space="preserve">:  ILI and Temperature Correlation: </w:t>
                  </w:r>
                  <w:hyperlink r:id="rId10" w:history="1">
                    <w:r w:rsidRPr="00047211">
                      <w:rPr>
                        <w:rStyle w:val="Hyperlink"/>
                        <w:rFonts w:ascii="Times New Roman" w:hAnsi="Times New Roman" w:cs="Times New Roman"/>
                        <w:sz w:val="16"/>
                      </w:rPr>
                      <w:t>http://www.cdc.gov/flu/weekly/</w:t>
                    </w:r>
                  </w:hyperlink>
                  <w:r w:rsidRPr="00047211">
                    <w:rPr>
                      <w:rFonts w:ascii="Times New Roman" w:hAnsi="Times New Roman" w:cs="Times New Roman"/>
                      <w:sz w:val="16"/>
                    </w:rPr>
                    <w:t xml:space="preserve"> ILI is represented as incremental percentage from average and scaled on the right scale</w:t>
                  </w:r>
                  <w:r w:rsidRPr="00047211">
                    <w:rPr>
                      <w:rFonts w:ascii="Times New Roman" w:hAnsi="Times New Roman" w:cs="Times New Roman"/>
                    </w:rPr>
                    <w:t>.</w:t>
                  </w:r>
                </w:p>
              </w:txbxContent>
            </v:textbox>
          </v:shape>
        </w:pict>
      </w:r>
      <w:r w:rsidR="00047211">
        <w:rPr>
          <w:noProof/>
        </w:rPr>
        <w:drawing>
          <wp:inline distT="0" distB="0" distL="0" distR="0">
            <wp:extent cx="5486400" cy="3190875"/>
            <wp:effectExtent l="0" t="0" r="0" b="0"/>
            <wp:docPr id="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pPr w:leftFromText="180" w:rightFromText="180" w:vertAnchor="page" w:horzAnchor="margin" w:tblpY="8626"/>
        <w:tblW w:w="9202" w:type="dxa"/>
        <w:tblCellMar>
          <w:left w:w="0" w:type="dxa"/>
          <w:right w:w="0" w:type="dxa"/>
        </w:tblCellMar>
        <w:tblLook w:val="0000"/>
      </w:tblPr>
      <w:tblGrid>
        <w:gridCol w:w="1395"/>
        <w:gridCol w:w="867"/>
        <w:gridCol w:w="1114"/>
        <w:gridCol w:w="963"/>
        <w:gridCol w:w="963"/>
        <w:gridCol w:w="1069"/>
        <w:gridCol w:w="963"/>
        <w:gridCol w:w="998"/>
        <w:gridCol w:w="998"/>
      </w:tblGrid>
      <w:tr w:rsidR="00047211" w:rsidTr="00047211">
        <w:trPr>
          <w:trHeight w:val="210"/>
        </w:trPr>
        <w:tc>
          <w:tcPr>
            <w:tcW w:w="2246" w:type="dxa"/>
            <w:gridSpan w:val="2"/>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SUMMARY OUTPUT</w:t>
            </w:r>
          </w:p>
        </w:tc>
        <w:tc>
          <w:tcPr>
            <w:tcW w:w="1098"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947"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947"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1053"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947"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982"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982" w:type="dxa"/>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gridSpan w:val="2"/>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r>
              <w:rPr>
                <w:rFonts w:ascii="Arial" w:hAnsi="Arial" w:cs="Arial"/>
                <w:i/>
                <w:iCs/>
                <w:sz w:val="16"/>
                <w:szCs w:val="16"/>
              </w:rPr>
              <w:t>Regression Statistics</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Multiple R</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0.6960837</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R Square</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0.4845325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Adjusted R Square</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0.4807142</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Standard Error</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0.7963725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Observations</w:t>
            </w:r>
          </w:p>
        </w:tc>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137</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2"/>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ANOVA</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r>
      <w:tr w:rsidR="00047211" w:rsidTr="00047211">
        <w:trPr>
          <w:trHeight w:val="210"/>
        </w:trPr>
        <w:tc>
          <w:tcPr>
            <w:tcW w:w="0" w:type="auto"/>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r>
              <w:rPr>
                <w:rFonts w:ascii="Arial" w:hAnsi="Arial" w:cs="Arial"/>
                <w:i/>
                <w:iCs/>
                <w:sz w:val="16"/>
                <w:szCs w:val="16"/>
              </w:rPr>
              <w:t> </w:t>
            </w:r>
          </w:p>
        </w:tc>
        <w:tc>
          <w:tcPr>
            <w:tcW w:w="0" w:type="auto"/>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proofErr w:type="spellStart"/>
            <w:r>
              <w:rPr>
                <w:rFonts w:ascii="Arial" w:hAnsi="Arial" w:cs="Arial"/>
                <w:i/>
                <w:iCs/>
                <w:sz w:val="16"/>
                <w:szCs w:val="16"/>
              </w:rPr>
              <w:t>df</w:t>
            </w:r>
            <w:proofErr w:type="spellEnd"/>
          </w:p>
        </w:tc>
        <w:tc>
          <w:tcPr>
            <w:tcW w:w="0" w:type="auto"/>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r>
              <w:rPr>
                <w:rFonts w:ascii="Arial" w:hAnsi="Arial" w:cs="Arial"/>
                <w:i/>
                <w:iCs/>
                <w:sz w:val="16"/>
                <w:szCs w:val="16"/>
              </w:rPr>
              <w:t>SS</w:t>
            </w:r>
          </w:p>
        </w:tc>
        <w:tc>
          <w:tcPr>
            <w:tcW w:w="0" w:type="auto"/>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r>
              <w:rPr>
                <w:rFonts w:ascii="Arial" w:hAnsi="Arial" w:cs="Arial"/>
                <w:i/>
                <w:iCs/>
                <w:sz w:val="16"/>
                <w:szCs w:val="16"/>
              </w:rPr>
              <w:t>MS</w:t>
            </w:r>
          </w:p>
        </w:tc>
        <w:tc>
          <w:tcPr>
            <w:tcW w:w="0" w:type="auto"/>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r>
              <w:rPr>
                <w:rFonts w:ascii="Arial" w:hAnsi="Arial" w:cs="Arial"/>
                <w:i/>
                <w:iCs/>
                <w:sz w:val="16"/>
                <w:szCs w:val="16"/>
              </w:rPr>
              <w:t>F</w:t>
            </w:r>
          </w:p>
        </w:tc>
        <w:tc>
          <w:tcPr>
            <w:tcW w:w="0" w:type="auto"/>
            <w:tcBorders>
              <w:top w:val="single" w:sz="8" w:space="0" w:color="auto"/>
              <w:left w:val="nil"/>
              <w:bottom w:val="single" w:sz="4" w:space="0" w:color="auto"/>
              <w:right w:val="nil"/>
            </w:tcBorders>
            <w:noWrap/>
            <w:vAlign w:val="bottom"/>
          </w:tcPr>
          <w:p w:rsidR="00047211" w:rsidRDefault="00047211" w:rsidP="00047211">
            <w:pPr>
              <w:spacing w:after="0" w:line="240" w:lineRule="auto"/>
              <w:jc w:val="both"/>
              <w:rPr>
                <w:rFonts w:ascii="Arial" w:eastAsia="Arial Unicode MS" w:hAnsi="Arial" w:cs="Arial"/>
                <w:i/>
                <w:iCs/>
                <w:sz w:val="16"/>
                <w:szCs w:val="16"/>
              </w:rPr>
            </w:pPr>
            <w:r>
              <w:rPr>
                <w:rFonts w:ascii="Arial" w:hAnsi="Arial" w:cs="Arial"/>
                <w:i/>
                <w:iCs/>
                <w:sz w:val="16"/>
                <w:szCs w:val="16"/>
              </w:rPr>
              <w:t>Significance F</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Regression</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80.479981</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80.479981</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126.89817</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3.661E-21</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Residual</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135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85.618237</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0.6342092</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r>
      <w:tr w:rsidR="00047211" w:rsidTr="00047211">
        <w:trPr>
          <w:trHeight w:val="210"/>
        </w:trPr>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Total</w:t>
            </w:r>
          </w:p>
        </w:tc>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136</w:t>
            </w:r>
          </w:p>
        </w:tc>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166.09822</w:t>
            </w:r>
          </w:p>
        </w:tc>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 </w:t>
            </w:r>
          </w:p>
        </w:tc>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 </w:t>
            </w:r>
          </w:p>
        </w:tc>
        <w:tc>
          <w:tcPr>
            <w:tcW w:w="0" w:type="auto"/>
            <w:tcBorders>
              <w:top w:val="nil"/>
              <w:left w:val="nil"/>
              <w:bottom w:val="single" w:sz="8" w:space="0" w:color="auto"/>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 </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Coefficients</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Standard Error</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t Stat</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P-value</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Lower 95%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Upper 95%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Lower 95.0%</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Upper 95.0%</w:t>
            </w: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Intercept</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10.434298</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0.7731665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13.495539</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8.282E-27</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8.9052135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11.963383</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8.9052135</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11.963383</w:t>
            </w:r>
          </w:p>
        </w:tc>
      </w:tr>
      <w:tr w:rsidR="00047211" w:rsidTr="00047211">
        <w:trPr>
          <w:trHeight w:val="210"/>
        </w:trPr>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-0.1398187</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0.0124119</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-11.264909</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3.661E-21</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-0.1643656</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-0.1152718</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-0.1643656</w:t>
            </w:r>
          </w:p>
        </w:tc>
        <w:tc>
          <w:tcPr>
            <w:tcW w:w="0" w:type="auto"/>
            <w:tcBorders>
              <w:top w:val="nil"/>
              <w:left w:val="nil"/>
              <w:bottom w:val="nil"/>
              <w:right w:val="nil"/>
            </w:tcBorders>
            <w:noWrap/>
            <w:vAlign w:val="bottom"/>
          </w:tcPr>
          <w:p w:rsidR="00047211" w:rsidRDefault="00047211" w:rsidP="00047211">
            <w:pPr>
              <w:spacing w:after="0" w:line="240" w:lineRule="auto"/>
              <w:jc w:val="both"/>
              <w:rPr>
                <w:rFonts w:ascii="Arial" w:eastAsia="Arial Unicode MS" w:hAnsi="Arial" w:cs="Arial"/>
                <w:sz w:val="16"/>
                <w:szCs w:val="16"/>
              </w:rPr>
            </w:pPr>
            <w:r>
              <w:rPr>
                <w:rFonts w:ascii="Arial" w:hAnsi="Arial" w:cs="Arial"/>
                <w:sz w:val="16"/>
                <w:szCs w:val="16"/>
              </w:rPr>
              <w:t>-0.1152718</w:t>
            </w:r>
          </w:p>
        </w:tc>
      </w:tr>
    </w:tbl>
    <w:p w:rsidR="00047211" w:rsidRPr="00A91591" w:rsidRDefault="00735044" w:rsidP="00A91591">
      <w:pPr>
        <w:spacing w:line="480" w:lineRule="auto"/>
        <w:jc w:val="both"/>
      </w:pPr>
      <w:r w:rsidRPr="00735044">
        <w:rPr>
          <w:noProof/>
          <w:sz w:val="20"/>
        </w:rPr>
        <w:pict>
          <v:shape id="_x0000_s1040" type="#_x0000_t202" style="position:absolute;left:0;text-align:left;margin-left:0;margin-top:225.15pt;width:282pt;height:18pt;z-index:-251662848;mso-wrap-edited:f;mso-position-horizontal-relative:text;mso-position-vertical-relative:text" wrapcoords="-60 0 -60 20700 21600 20700 21600 0 -60 0" stroked="f">
            <v:textbox style="mso-next-textbox:#_x0000_s1040">
              <w:txbxContent>
                <w:p w:rsidR="00047211" w:rsidRPr="00DF41CB" w:rsidRDefault="00047211" w:rsidP="00047211">
                  <w:pPr>
                    <w:rPr>
                      <w:rFonts w:ascii="Times New Roman" w:hAnsi="Times New Roman" w:cs="Times New Roman"/>
                      <w:sz w:val="16"/>
                    </w:rPr>
                  </w:pPr>
                  <w:r>
                    <w:t xml:space="preserve"> </w:t>
                  </w:r>
                  <w:r>
                    <w:rPr>
                      <w:rFonts w:ascii="Times New Roman" w:hAnsi="Times New Roman" w:cs="Times New Roman"/>
                      <w:sz w:val="16"/>
                    </w:rPr>
                    <w:t>Table 2</w:t>
                  </w:r>
                  <w:r w:rsidRPr="00DF41CB">
                    <w:rPr>
                      <w:rFonts w:ascii="Times New Roman" w:hAnsi="Times New Roman" w:cs="Times New Roman"/>
                      <w:sz w:val="16"/>
                    </w:rPr>
                    <w:t>: ILI as function of Temperature: Regression Analysis</w:t>
                  </w:r>
                </w:p>
                <w:p w:rsidR="00047211" w:rsidRDefault="00047211" w:rsidP="00047211"/>
              </w:txbxContent>
            </v:textbox>
          </v:shape>
        </w:pict>
      </w:r>
    </w:p>
    <w:p w:rsidR="001E7C1A" w:rsidRPr="001E7C1A" w:rsidRDefault="0000608F" w:rsidP="00047211">
      <w:pPr>
        <w:pStyle w:val="Heading1"/>
        <w:spacing w:before="0" w:line="480" w:lineRule="auto"/>
        <w:jc w:val="both"/>
        <w:rPr>
          <w:rFonts w:ascii="Times New Roman" w:hAnsi="Times New Roman" w:cs="Times New Roman"/>
        </w:rPr>
      </w:pPr>
      <w:bookmarkStart w:id="2" w:name="_Toc238794112"/>
      <w:r w:rsidRPr="001E7C1A">
        <w:rPr>
          <w:rFonts w:ascii="Times New Roman" w:hAnsi="Times New Roman" w:cs="Times New Roman"/>
        </w:rPr>
        <w:lastRenderedPageBreak/>
        <w:t>HDD</w:t>
      </w:r>
      <w:bookmarkEnd w:id="2"/>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 xml:space="preserve">Weather Futures are traded in Chicago Mercantile Exchange (CME). The contracts are on the daily cumulative Heating Degree Days (HDD) and Cooling Degree Days (CDD) for a month observed at a weather station. </w:t>
      </w:r>
    </w:p>
    <w:p w:rsidR="001E7C1A" w:rsidRPr="001E7C1A" w:rsidRDefault="001E7C1A" w:rsidP="00DB640C">
      <w:pPr>
        <w:spacing w:after="0" w:line="480" w:lineRule="auto"/>
        <w:jc w:val="center"/>
        <w:rPr>
          <w:rFonts w:ascii="Times New Roman" w:hAnsi="Times New Roman" w:cs="Times New Roman"/>
        </w:rPr>
      </w:pPr>
      <w:r w:rsidRPr="001E7C1A">
        <w:rPr>
          <w:rFonts w:ascii="Times New Roman" w:hAnsi="Times New Roman" w:cs="Times New Roman"/>
        </w:rPr>
        <w:t>HDD=max (0,65-A) and CDD=max (0,A-65)</w:t>
      </w: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Where: A is the average of daily minimum and maximum temperatures. One Future contract is on $100 times the cumulative HDD or CDD for one full month. The historical temperature average provided in the Table 2 is measured in Los Angeles Civic Center. Historical trend is a reliable forecast for the future years since Weather Future Contracts have no systematic risk. This can be further adjusted for global warming effect.</w:t>
      </w:r>
    </w:p>
    <w:tbl>
      <w:tblPr>
        <w:tblW w:w="8836" w:type="dxa"/>
        <w:tblCellMar>
          <w:left w:w="0" w:type="dxa"/>
          <w:right w:w="0" w:type="dxa"/>
        </w:tblCellMar>
        <w:tblLook w:val="0000"/>
      </w:tblPr>
      <w:tblGrid>
        <w:gridCol w:w="1400"/>
        <w:gridCol w:w="651"/>
        <w:gridCol w:w="651"/>
        <w:gridCol w:w="651"/>
        <w:gridCol w:w="651"/>
        <w:gridCol w:w="651"/>
        <w:gridCol w:w="651"/>
        <w:gridCol w:w="651"/>
        <w:gridCol w:w="651"/>
        <w:gridCol w:w="651"/>
        <w:gridCol w:w="651"/>
        <w:gridCol w:w="651"/>
        <w:gridCol w:w="651"/>
      </w:tblGrid>
      <w:tr w:rsidR="001E7C1A" w:rsidRPr="001E7C1A" w:rsidTr="00763C86">
        <w:trPr>
          <w:trHeight w:val="248"/>
        </w:trPr>
        <w:tc>
          <w:tcPr>
            <w:tcW w:w="1216"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1906-2008 averages in Los Angeles</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Jul</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Aug</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Sep</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Oct</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Nov</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Dec</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Jan</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Feb</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Mar</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Apr</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May</w:t>
            </w:r>
          </w:p>
        </w:tc>
        <w:tc>
          <w:tcPr>
            <w:tcW w:w="635" w:type="dxa"/>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b/>
                <w:bCs/>
                <w:sz w:val="16"/>
                <w:szCs w:val="16"/>
              </w:rPr>
            </w:pPr>
            <w:r w:rsidRPr="001E7C1A">
              <w:rPr>
                <w:rFonts w:ascii="Times New Roman" w:hAnsi="Times New Roman" w:cs="Times New Roman"/>
                <w:b/>
                <w:bCs/>
                <w:sz w:val="16"/>
                <w:szCs w:val="16"/>
              </w:rPr>
              <w:t>Jun</w:t>
            </w:r>
          </w:p>
        </w:tc>
      </w:tr>
      <w:tr w:rsidR="001E7C1A" w:rsidRPr="001E7C1A" w:rsidTr="00763C86">
        <w:trPr>
          <w:trHeight w:val="248"/>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Average Max</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81.94</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82.55</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81.33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77.23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72.87</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67.29</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66.03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66.93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68.52</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70.57</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72.65</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76.63</w:t>
            </w:r>
          </w:p>
        </w:tc>
      </w:tr>
      <w:tr w:rsidR="001E7C1A" w:rsidRPr="001E7C1A" w:rsidTr="00763C86">
        <w:trPr>
          <w:trHeight w:val="248"/>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Average Min</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62.55</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63.19</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61.90</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58.35</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53.30</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49.23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48.19</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49.38</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51.03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53.13</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55.97</w:t>
            </w:r>
          </w:p>
        </w:tc>
        <w:tc>
          <w:tcPr>
            <w:tcW w:w="635" w:type="dxa"/>
            <w:tcBorders>
              <w:top w:val="nil"/>
              <w:left w:val="nil"/>
              <w:bottom w:val="nil"/>
              <w:right w:val="nil"/>
            </w:tcBorders>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59.20</w:t>
            </w:r>
          </w:p>
        </w:tc>
      </w:tr>
      <w:tr w:rsidR="001E7C1A" w:rsidRPr="001E7C1A" w:rsidTr="00763C86">
        <w:trPr>
          <w:trHeight w:val="248"/>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Average Temperature</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72.24</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72.87</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71.62</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67.79</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63.08</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58.26</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57.11</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58.16</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59.77</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61.85</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64.31</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67.92</w:t>
            </w:r>
          </w:p>
        </w:tc>
      </w:tr>
      <w:tr w:rsidR="001E7C1A" w:rsidRPr="001E7C1A" w:rsidTr="00763C86">
        <w:trPr>
          <w:trHeight w:val="248"/>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HDD</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0.40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0.00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2.90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34.00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108.80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226.30</w:t>
            </w:r>
          </w:p>
        </w:tc>
        <w:tc>
          <w:tcPr>
            <w:tcW w:w="0" w:type="auto"/>
            <w:tcBorders>
              <w:top w:val="nil"/>
              <w:left w:val="nil"/>
              <w:bottom w:val="nil"/>
              <w:right w:val="nil"/>
            </w:tcBorders>
            <w:noWrap/>
            <w:vAlign w:val="bottom"/>
          </w:tcPr>
          <w:p w:rsidR="001E7C1A" w:rsidRPr="00DB640C" w:rsidRDefault="001E7C1A" w:rsidP="00047211">
            <w:pPr>
              <w:spacing w:after="0" w:line="480" w:lineRule="auto"/>
              <w:jc w:val="both"/>
              <w:rPr>
                <w:rFonts w:ascii="Times New Roman" w:eastAsia="Arial Unicode MS" w:hAnsi="Times New Roman" w:cs="Times New Roman"/>
                <w:b/>
                <w:sz w:val="16"/>
                <w:szCs w:val="16"/>
              </w:rPr>
            </w:pPr>
            <w:r w:rsidRPr="00DB640C">
              <w:rPr>
                <w:rFonts w:ascii="Times New Roman" w:hAnsi="Times New Roman" w:cs="Times New Roman"/>
                <w:b/>
                <w:sz w:val="16"/>
                <w:szCs w:val="16"/>
              </w:rPr>
              <w:t>259.60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216.90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188.90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132.00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75.30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19.00</w:t>
            </w:r>
          </w:p>
        </w:tc>
      </w:tr>
      <w:tr w:rsidR="001E7C1A" w:rsidRPr="001E7C1A" w:rsidTr="00763C86">
        <w:trPr>
          <w:trHeight w:val="248"/>
        </w:trPr>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CDD</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217.60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239.60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195.40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110.90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44.70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11.10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8.40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11.40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18.90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30.60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46.50</w:t>
            </w:r>
          </w:p>
        </w:tc>
        <w:tc>
          <w:tcPr>
            <w:tcW w:w="0" w:type="auto"/>
            <w:tcBorders>
              <w:top w:val="nil"/>
              <w:left w:val="nil"/>
              <w:bottom w:val="nil"/>
              <w:right w:val="nil"/>
            </w:tcBorders>
            <w:noWrap/>
            <w:vAlign w:val="bottom"/>
          </w:tcPr>
          <w:p w:rsidR="001E7C1A" w:rsidRPr="001E7C1A" w:rsidRDefault="001E7C1A" w:rsidP="00047211">
            <w:pPr>
              <w:spacing w:after="0" w:line="480" w:lineRule="auto"/>
              <w:jc w:val="both"/>
              <w:rPr>
                <w:rFonts w:ascii="Times New Roman" w:eastAsia="Arial Unicode MS" w:hAnsi="Times New Roman" w:cs="Times New Roman"/>
                <w:sz w:val="16"/>
                <w:szCs w:val="16"/>
              </w:rPr>
            </w:pPr>
            <w:r w:rsidRPr="001E7C1A">
              <w:rPr>
                <w:rFonts w:ascii="Times New Roman" w:hAnsi="Times New Roman" w:cs="Times New Roman"/>
                <w:sz w:val="16"/>
                <w:szCs w:val="16"/>
              </w:rPr>
              <w:t>98.50</w:t>
            </w:r>
          </w:p>
        </w:tc>
      </w:tr>
    </w:tbl>
    <w:p w:rsidR="001E7C1A" w:rsidRPr="001E7C1A" w:rsidRDefault="00735044" w:rsidP="00047211">
      <w:pPr>
        <w:spacing w:after="0" w:line="480" w:lineRule="auto"/>
        <w:jc w:val="both"/>
        <w:rPr>
          <w:rFonts w:ascii="Times New Roman" w:hAnsi="Times New Roman" w:cs="Times New Roman"/>
        </w:rPr>
      </w:pPr>
      <w:r w:rsidRPr="00735044">
        <w:rPr>
          <w:rFonts w:ascii="Times New Roman" w:hAnsi="Times New Roman" w:cs="Times New Roman"/>
          <w:noProof/>
          <w:sz w:val="20"/>
        </w:rPr>
        <w:pict>
          <v:shape id="_x0000_s1030" type="#_x0000_t202" style="position:absolute;left:0;text-align:left;margin-left:0;margin-top:3.65pt;width:468pt;height:18pt;z-index:-251657728;mso-wrap-edited:f;mso-position-horizontal-relative:text;mso-position-vertical-relative:text" wrapcoords="-60 0 -60 20700 21600 20700 21600 0 -60 0" stroked="f">
            <v:textbox style="mso-next-textbox:#_x0000_s1030">
              <w:txbxContent>
                <w:p w:rsidR="001E7C1A" w:rsidRPr="00DF41CB" w:rsidRDefault="001E7C1A" w:rsidP="001E7C1A">
                  <w:pPr>
                    <w:rPr>
                      <w:rFonts w:ascii="Times New Roman" w:hAnsi="Times New Roman" w:cs="Times New Roman"/>
                      <w:sz w:val="16"/>
                    </w:rPr>
                  </w:pPr>
                  <w:r w:rsidRPr="00DF41CB">
                    <w:rPr>
                      <w:rFonts w:ascii="Times New Roman" w:hAnsi="Times New Roman" w:cs="Times New Roman"/>
                    </w:rPr>
                    <w:t xml:space="preserve"> </w:t>
                  </w:r>
                  <w:r w:rsidR="00047211">
                    <w:rPr>
                      <w:rFonts w:ascii="Times New Roman" w:hAnsi="Times New Roman" w:cs="Times New Roman"/>
                      <w:sz w:val="16"/>
                    </w:rPr>
                    <w:t>Table 3</w:t>
                  </w:r>
                  <w:r w:rsidRPr="00DF41CB">
                    <w:rPr>
                      <w:rFonts w:ascii="Times New Roman" w:hAnsi="Times New Roman" w:cs="Times New Roman"/>
                      <w:sz w:val="16"/>
                    </w:rPr>
                    <w:t xml:space="preserve">: Historical Temperature and CDD/HDD. </w:t>
                  </w:r>
                  <w:hyperlink r:id="rId12" w:history="1">
                    <w:r w:rsidRPr="00DF41CB">
                      <w:rPr>
                        <w:rStyle w:val="Hyperlink"/>
                        <w:rFonts w:ascii="Times New Roman" w:hAnsi="Times New Roman" w:cs="Times New Roman"/>
                        <w:sz w:val="16"/>
                      </w:rPr>
                      <w:t>http://www.wrcc.dri.edu/cgi-bin/cliMAIN.pl?calacc</w:t>
                    </w:r>
                  </w:hyperlink>
                </w:p>
                <w:p w:rsidR="001E7C1A" w:rsidRDefault="001E7C1A" w:rsidP="001E7C1A">
                  <w:pPr>
                    <w:rPr>
                      <w:sz w:val="16"/>
                    </w:rPr>
                  </w:pPr>
                </w:p>
                <w:p w:rsidR="001E7C1A" w:rsidRDefault="001E7C1A" w:rsidP="001E7C1A"/>
              </w:txbxContent>
            </v:textbox>
          </v:shape>
        </w:pict>
      </w: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 xml:space="preserve">For Example, if we purchased one HDD future contract for January at a strike price of 200 and if the average temperature held our pay off would have been </w:t>
      </w:r>
      <w:r w:rsidR="00DB640C">
        <w:rPr>
          <w:rFonts w:ascii="Times New Roman" w:hAnsi="Times New Roman" w:cs="Times New Roman"/>
        </w:rPr>
        <w:t>(</w:t>
      </w:r>
      <w:r w:rsidR="00DB640C" w:rsidRPr="00DB640C">
        <w:rPr>
          <w:rFonts w:ascii="Times New Roman" w:hAnsi="Times New Roman" w:cs="Times New Roman"/>
          <w:b/>
        </w:rPr>
        <w:t>259.60</w:t>
      </w:r>
      <w:r w:rsidR="00DB640C">
        <w:rPr>
          <w:rFonts w:ascii="Times New Roman" w:hAnsi="Times New Roman" w:cs="Times New Roman"/>
        </w:rPr>
        <w:t>-200)*$100=</w:t>
      </w:r>
      <w:r w:rsidRPr="001E7C1A">
        <w:rPr>
          <w:rFonts w:ascii="Times New Roman" w:hAnsi="Times New Roman" w:cs="Times New Roman"/>
        </w:rPr>
        <w:t>$5,960.</w:t>
      </w:r>
    </w:p>
    <w:p w:rsidR="001E7C1A" w:rsidRPr="001E7C1A" w:rsidRDefault="001E7C1A" w:rsidP="00047211">
      <w:pPr>
        <w:pStyle w:val="BodyText"/>
      </w:pPr>
      <w:r w:rsidRPr="001E7C1A">
        <w:t>Historical average of daily HDD ranges from 0 to 9 and for month 0 to 270. However, HDD can reach as high as 750 in coldest parts of the world. Bellow is the temperature chart and a chart of deviation of my HDD calculation and WRCC HDD calculation based on historical daily average temperatures from1906 to 2008.</w:t>
      </w:r>
    </w:p>
    <w:p w:rsidR="001E7C1A" w:rsidRPr="001E7C1A" w:rsidRDefault="00735044" w:rsidP="00047211">
      <w:pPr>
        <w:spacing w:after="0" w:line="480" w:lineRule="auto"/>
        <w:jc w:val="both"/>
        <w:rPr>
          <w:rFonts w:ascii="Times New Roman" w:hAnsi="Times New Roman" w:cs="Times New Roman"/>
        </w:rPr>
      </w:pPr>
      <w:r w:rsidRPr="00735044">
        <w:rPr>
          <w:rFonts w:ascii="Times New Roman" w:hAnsi="Times New Roman" w:cs="Times New Roman"/>
          <w:noProof/>
          <w:sz w:val="20"/>
        </w:rPr>
        <w:lastRenderedPageBreak/>
        <w:pict>
          <v:shape id="_x0000_s1031" type="#_x0000_t202" style="position:absolute;left:0;text-align:left;margin-left:0;margin-top:209.05pt;width:450pt;height:18pt;z-index:-251656704;mso-wrap-edited:f" wrapcoords="-60 0 -60 20700 21600 20700 21600 0 -60 0" stroked="f">
            <v:textbox style="mso-next-textbox:#_x0000_s1031">
              <w:txbxContent>
                <w:p w:rsidR="001E7C1A" w:rsidRPr="00DF41CB" w:rsidRDefault="001E7C1A" w:rsidP="001E7C1A">
                  <w:pPr>
                    <w:rPr>
                      <w:rFonts w:ascii="Times New Roman" w:hAnsi="Times New Roman" w:cs="Times New Roman"/>
                      <w:sz w:val="16"/>
                    </w:rPr>
                  </w:pPr>
                  <w:r>
                    <w:t xml:space="preserve"> </w:t>
                  </w:r>
                  <w:r w:rsidR="00047211">
                    <w:rPr>
                      <w:rFonts w:ascii="Times New Roman" w:hAnsi="Times New Roman" w:cs="Times New Roman"/>
                      <w:sz w:val="16"/>
                    </w:rPr>
                    <w:t>Chart 5</w:t>
                  </w:r>
                  <w:r w:rsidRPr="00DF41CB">
                    <w:rPr>
                      <w:rFonts w:ascii="Times New Roman" w:hAnsi="Times New Roman" w:cs="Times New Roman"/>
                      <w:sz w:val="16"/>
                    </w:rPr>
                    <w:t xml:space="preserve">: 1906-2008 average daily minimum and maximum average temperature </w:t>
                  </w:r>
                  <w:hyperlink r:id="rId13" w:history="1">
                    <w:r w:rsidRPr="00DF41CB">
                      <w:rPr>
                        <w:rStyle w:val="Hyperlink"/>
                        <w:rFonts w:ascii="Times New Roman" w:hAnsi="Times New Roman" w:cs="Times New Roman"/>
                        <w:sz w:val="16"/>
                      </w:rPr>
                      <w:t>http://www.wrcc.dri.edu/cgi-bin/cliMAIN.pl?calacc</w:t>
                    </w:r>
                  </w:hyperlink>
                </w:p>
                <w:p w:rsidR="001E7C1A" w:rsidRDefault="001E7C1A" w:rsidP="001E7C1A"/>
              </w:txbxContent>
            </v:textbox>
          </v:shape>
        </w:pict>
      </w:r>
      <w:r w:rsidR="001E7C1A" w:rsidRPr="001E7C1A">
        <w:rPr>
          <w:rFonts w:ascii="Times New Roman" w:hAnsi="Times New Roman" w:cs="Times New Roman"/>
          <w:noProof/>
        </w:rPr>
        <w:drawing>
          <wp:inline distT="0" distB="0" distL="0" distR="0">
            <wp:extent cx="5486400" cy="2581275"/>
            <wp:effectExtent l="19050" t="0" r="1905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7C1A" w:rsidRPr="001E7C1A" w:rsidRDefault="001E7C1A" w:rsidP="00047211">
      <w:pPr>
        <w:spacing w:after="0" w:line="480" w:lineRule="auto"/>
        <w:jc w:val="both"/>
        <w:rPr>
          <w:rFonts w:ascii="Times New Roman" w:hAnsi="Times New Roman" w:cs="Times New Roman"/>
        </w:rPr>
      </w:pPr>
    </w:p>
    <w:p w:rsidR="001E7C1A" w:rsidRPr="001E7C1A" w:rsidRDefault="00047211" w:rsidP="00047211">
      <w:pPr>
        <w:spacing w:after="0" w:line="480" w:lineRule="auto"/>
        <w:jc w:val="both"/>
        <w:rPr>
          <w:rFonts w:ascii="Times New Roman" w:hAnsi="Times New Roman" w:cs="Times New Roman"/>
        </w:rPr>
      </w:pPr>
      <w:r w:rsidRPr="001E7C1A">
        <w:rPr>
          <w:rFonts w:ascii="Times New Roman" w:hAnsi="Times New Roman" w:cs="Times New Roman"/>
          <w:noProof/>
        </w:rPr>
        <w:drawing>
          <wp:inline distT="0" distB="0" distL="0" distR="0">
            <wp:extent cx="5486400" cy="2771775"/>
            <wp:effectExtent l="19050" t="0" r="19050" b="0"/>
            <wp:docPr id="5"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7C1A" w:rsidRDefault="00735044" w:rsidP="00047211">
      <w:pPr>
        <w:pStyle w:val="Heading1"/>
        <w:spacing w:before="0" w:line="480" w:lineRule="auto"/>
        <w:jc w:val="both"/>
        <w:rPr>
          <w:rFonts w:ascii="Times New Roman" w:hAnsi="Times New Roman" w:cs="Times New Roman"/>
        </w:rPr>
      </w:pPr>
      <w:r w:rsidRPr="00735044">
        <w:rPr>
          <w:rFonts w:ascii="Times New Roman" w:hAnsi="Times New Roman" w:cs="Times New Roman"/>
          <w:noProof/>
          <w:sz w:val="20"/>
        </w:rPr>
        <w:pict>
          <v:shape id="_x0000_s1032" type="#_x0000_t202" style="position:absolute;left:0;text-align:left;margin-left:0;margin-top:-.35pt;width:450pt;height:18pt;z-index:-251655680;mso-wrap-edited:f" wrapcoords="-60 0 -60 20700 21600 20700 21600 0 -60 0" stroked="f">
            <v:textbox style="mso-next-textbox:#_x0000_s1032">
              <w:txbxContent>
                <w:p w:rsidR="001E7C1A" w:rsidRPr="00DF41CB" w:rsidRDefault="001E7C1A" w:rsidP="001E7C1A">
                  <w:pPr>
                    <w:rPr>
                      <w:rFonts w:ascii="Times New Roman" w:hAnsi="Times New Roman" w:cs="Times New Roman"/>
                      <w:sz w:val="16"/>
                    </w:rPr>
                  </w:pPr>
                  <w:r w:rsidRPr="00DF41CB">
                    <w:rPr>
                      <w:rFonts w:ascii="Times New Roman" w:hAnsi="Times New Roman" w:cs="Times New Roman"/>
                    </w:rPr>
                    <w:t xml:space="preserve"> </w:t>
                  </w:r>
                  <w:r w:rsidR="00047211">
                    <w:rPr>
                      <w:rFonts w:ascii="Times New Roman" w:hAnsi="Times New Roman" w:cs="Times New Roman"/>
                      <w:sz w:val="16"/>
                    </w:rPr>
                    <w:t>Chart 6</w:t>
                  </w:r>
                  <w:r w:rsidRPr="00DF41CB">
                    <w:rPr>
                      <w:rFonts w:ascii="Times New Roman" w:hAnsi="Times New Roman" w:cs="Times New Roman"/>
                      <w:sz w:val="16"/>
                    </w:rPr>
                    <w:t xml:space="preserve">: 1906-2008 average HDD </w:t>
                  </w:r>
                  <w:hyperlink r:id="rId16" w:history="1">
                    <w:r w:rsidRPr="00DF41CB">
                      <w:rPr>
                        <w:rStyle w:val="Hyperlink"/>
                        <w:rFonts w:ascii="Times New Roman" w:hAnsi="Times New Roman" w:cs="Times New Roman"/>
                        <w:sz w:val="16"/>
                      </w:rPr>
                      <w:t>http://www.wrcc.dri.edu/cgi-bin/cliMAIN.pl?calacc</w:t>
                    </w:r>
                  </w:hyperlink>
                </w:p>
                <w:p w:rsidR="001E7C1A" w:rsidRDefault="001E7C1A" w:rsidP="001E7C1A"/>
              </w:txbxContent>
            </v:textbox>
          </v:shape>
        </w:pict>
      </w:r>
    </w:p>
    <w:p w:rsidR="001E7C1A" w:rsidRPr="001E7C1A" w:rsidRDefault="000C7013" w:rsidP="00047211">
      <w:pPr>
        <w:pStyle w:val="Heading1"/>
        <w:spacing w:before="0" w:line="480" w:lineRule="auto"/>
        <w:jc w:val="both"/>
        <w:rPr>
          <w:rFonts w:ascii="Times New Roman" w:hAnsi="Times New Roman" w:cs="Times New Roman"/>
        </w:rPr>
      </w:pPr>
      <w:bookmarkStart w:id="3" w:name="_Toc238794113"/>
      <w:r>
        <w:rPr>
          <w:rFonts w:ascii="Times New Roman" w:hAnsi="Times New Roman" w:cs="Times New Roman"/>
        </w:rPr>
        <w:t>ILI</w:t>
      </w:r>
      <w:r w:rsidR="001E7C1A" w:rsidRPr="001E7C1A">
        <w:rPr>
          <w:rFonts w:ascii="Times New Roman" w:hAnsi="Times New Roman" w:cs="Times New Roman"/>
        </w:rPr>
        <w:t xml:space="preserve"> as a Function of Temperature</w:t>
      </w:r>
      <w:bookmarkEnd w:id="3"/>
      <w:r w:rsidR="001E7C1A" w:rsidRPr="001E7C1A">
        <w:rPr>
          <w:rFonts w:ascii="Times New Roman" w:hAnsi="Times New Roman" w:cs="Times New Roman"/>
        </w:rPr>
        <w:t xml:space="preserve"> </w:t>
      </w: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Incremental percentage of ILI as a function of temperature is at its pick of 3.4% when the average of daily min and max temperature is 52 degrees of Fahrenheit. The drop in bellow 5</w:t>
      </w:r>
      <w:r w:rsidR="005C69EB">
        <w:rPr>
          <w:rFonts w:ascii="Times New Roman" w:hAnsi="Times New Roman" w:cs="Times New Roman"/>
        </w:rPr>
        <w:t>2 F is dictated by lack of data.</w:t>
      </w:r>
    </w:p>
    <w:p w:rsidR="001E7C1A" w:rsidRPr="001E7C1A" w:rsidRDefault="00735044" w:rsidP="00047211">
      <w:pPr>
        <w:spacing w:after="0" w:line="480" w:lineRule="auto"/>
        <w:jc w:val="both"/>
        <w:rPr>
          <w:rFonts w:ascii="Times New Roman" w:hAnsi="Times New Roman" w:cs="Times New Roman"/>
        </w:rPr>
      </w:pPr>
      <w:r w:rsidRPr="00735044">
        <w:rPr>
          <w:rFonts w:ascii="Times New Roman" w:hAnsi="Times New Roman" w:cs="Times New Roman"/>
          <w:noProof/>
          <w:sz w:val="20"/>
        </w:rPr>
        <w:lastRenderedPageBreak/>
        <w:pict>
          <v:shape id="_x0000_s1033" type="#_x0000_t202" style="position:absolute;left:0;text-align:left;margin-left:0;margin-top:198.75pt;width:423pt;height:30.6pt;z-index:-251654656;mso-wrap-edited:f" wrapcoords="-60 0 -60 20700 21600 20700 21600 0 -60 0" stroked="f">
            <v:textbox style="mso-next-textbox:#_x0000_s1033">
              <w:txbxContent>
                <w:p w:rsidR="001E7C1A" w:rsidRPr="00DF41CB" w:rsidRDefault="001E7C1A" w:rsidP="00047211">
                  <w:pPr>
                    <w:spacing w:after="0" w:line="240" w:lineRule="auto"/>
                    <w:rPr>
                      <w:rFonts w:ascii="Times New Roman" w:hAnsi="Times New Roman" w:cs="Times New Roman"/>
                      <w:sz w:val="16"/>
                    </w:rPr>
                  </w:pPr>
                  <w:r w:rsidRPr="00DF41CB">
                    <w:rPr>
                      <w:rFonts w:ascii="Times New Roman" w:hAnsi="Times New Roman" w:cs="Times New Roman"/>
                    </w:rPr>
                    <w:t xml:space="preserve"> </w:t>
                  </w:r>
                  <w:r w:rsidRPr="00DF41CB">
                    <w:rPr>
                      <w:rFonts w:ascii="Times New Roman" w:hAnsi="Times New Roman" w:cs="Times New Roman"/>
                      <w:sz w:val="16"/>
                    </w:rPr>
                    <w:t xml:space="preserve">Chart </w:t>
                  </w:r>
                  <w:r w:rsidR="00047211">
                    <w:rPr>
                      <w:rFonts w:ascii="Times New Roman" w:hAnsi="Times New Roman" w:cs="Times New Roman"/>
                      <w:sz w:val="16"/>
                    </w:rPr>
                    <w:t>7</w:t>
                  </w:r>
                  <w:r w:rsidRPr="00DF41CB">
                    <w:rPr>
                      <w:rFonts w:ascii="Times New Roman" w:hAnsi="Times New Roman" w:cs="Times New Roman"/>
                      <w:sz w:val="16"/>
                    </w:rPr>
                    <w:t xml:space="preserve">: incremental ILI as a Function of Temperature: </w:t>
                  </w:r>
                  <w:hyperlink r:id="rId17" w:history="1">
                    <w:r w:rsidRPr="00DF41CB">
                      <w:rPr>
                        <w:rStyle w:val="Hyperlink"/>
                        <w:rFonts w:ascii="Times New Roman" w:hAnsi="Times New Roman" w:cs="Times New Roman"/>
                        <w:sz w:val="16"/>
                      </w:rPr>
                      <w:t>http://www.cdc.gov/flu/weekly/</w:t>
                    </w:r>
                  </w:hyperlink>
                </w:p>
                <w:p w:rsidR="001E7C1A" w:rsidRPr="00DF41CB" w:rsidRDefault="001E7C1A" w:rsidP="00047211">
                  <w:pPr>
                    <w:spacing w:after="0" w:line="240" w:lineRule="auto"/>
                    <w:rPr>
                      <w:rFonts w:ascii="Times New Roman" w:hAnsi="Times New Roman" w:cs="Times New Roman"/>
                    </w:rPr>
                  </w:pPr>
                  <w:r w:rsidRPr="00DF41CB">
                    <w:rPr>
                      <w:rFonts w:ascii="Times New Roman" w:hAnsi="Times New Roman" w:cs="Times New Roman"/>
                      <w:sz w:val="16"/>
                    </w:rPr>
                    <w:t>ILI is represented as incremental percentage from average</w:t>
                  </w:r>
                </w:p>
              </w:txbxContent>
            </v:textbox>
          </v:shape>
        </w:pict>
      </w:r>
      <w:r w:rsidR="001E7C1A" w:rsidRPr="001E7C1A">
        <w:rPr>
          <w:rFonts w:ascii="Times New Roman" w:hAnsi="Times New Roman" w:cs="Times New Roman"/>
          <w:noProof/>
        </w:rPr>
        <w:drawing>
          <wp:inline distT="0" distB="0" distL="0" distR="0">
            <wp:extent cx="5486400" cy="242887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7C1A" w:rsidRPr="001E7C1A" w:rsidRDefault="001E7C1A" w:rsidP="00047211">
      <w:pPr>
        <w:spacing w:after="0" w:line="480" w:lineRule="auto"/>
        <w:ind w:firstLine="720"/>
        <w:jc w:val="both"/>
        <w:rPr>
          <w:rFonts w:ascii="Times New Roman" w:hAnsi="Times New Roman" w:cs="Times New Roman"/>
        </w:rPr>
      </w:pPr>
    </w:p>
    <w:p w:rsidR="001E7C1A" w:rsidRPr="001E7C1A" w:rsidRDefault="001E7C1A" w:rsidP="00047211">
      <w:pPr>
        <w:spacing w:after="0" w:line="480" w:lineRule="auto"/>
        <w:jc w:val="both"/>
        <w:rPr>
          <w:rFonts w:ascii="Times New Roman" w:hAnsi="Times New Roman" w:cs="Times New Roman"/>
        </w:rPr>
      </w:pPr>
      <w:r w:rsidRPr="001E7C1A">
        <w:rPr>
          <w:rFonts w:ascii="Times New Roman" w:hAnsi="Times New Roman" w:cs="Times New Roman"/>
        </w:rPr>
        <w:t xml:space="preserve">Similarly ILI incremental as a function of HDD is mirrored image of ILI as a function of temperature. As shown in Charts </w:t>
      </w:r>
      <w:r w:rsidR="005C69EB">
        <w:rPr>
          <w:rFonts w:ascii="Times New Roman" w:hAnsi="Times New Roman" w:cs="Times New Roman"/>
        </w:rPr>
        <w:t>5 and 6</w:t>
      </w:r>
      <w:r w:rsidRPr="001E7C1A">
        <w:rPr>
          <w:rFonts w:ascii="Times New Roman" w:hAnsi="Times New Roman" w:cs="Times New Roman"/>
        </w:rPr>
        <w:t>, HDD increases as the temperature decreases [HDD= max (0,65-A)].</w:t>
      </w:r>
    </w:p>
    <w:p w:rsidR="001E7C1A" w:rsidRPr="001E7C1A" w:rsidRDefault="00735044" w:rsidP="00047211">
      <w:pPr>
        <w:spacing w:after="0" w:line="480" w:lineRule="auto"/>
        <w:jc w:val="both"/>
        <w:rPr>
          <w:rFonts w:ascii="Times New Roman" w:hAnsi="Times New Roman" w:cs="Times New Roman"/>
        </w:rPr>
      </w:pPr>
      <w:r w:rsidRPr="00735044">
        <w:rPr>
          <w:rFonts w:ascii="Times New Roman" w:hAnsi="Times New Roman" w:cs="Times New Roman"/>
          <w:noProof/>
          <w:sz w:val="20"/>
        </w:rPr>
        <w:pict>
          <v:shape id="_x0000_s1034" type="#_x0000_t202" style="position:absolute;left:0;text-align:left;margin-left:0;margin-top:181.95pt;width:441pt;height:36pt;z-index:-251653632;mso-wrap-edited:f" wrapcoords="-60 0 -60 20700 21600 20700 21600 0 -60 0" stroked="f">
            <v:textbox style="mso-next-textbox:#_x0000_s1034">
              <w:txbxContent>
                <w:p w:rsidR="006C34BD" w:rsidRDefault="001E7C1A" w:rsidP="00047211">
                  <w:pPr>
                    <w:spacing w:after="0" w:line="240" w:lineRule="auto"/>
                    <w:rPr>
                      <w:rFonts w:ascii="Times New Roman" w:hAnsi="Times New Roman" w:cs="Times New Roman"/>
                      <w:sz w:val="16"/>
                    </w:rPr>
                  </w:pPr>
                  <w:r>
                    <w:t xml:space="preserve"> </w:t>
                  </w:r>
                  <w:r w:rsidRPr="00DF41CB">
                    <w:rPr>
                      <w:rFonts w:ascii="Times New Roman" w:hAnsi="Times New Roman" w:cs="Times New Roman"/>
                      <w:sz w:val="16"/>
                    </w:rPr>
                    <w:t xml:space="preserve">Chart </w:t>
                  </w:r>
                  <w:r w:rsidR="00047211">
                    <w:rPr>
                      <w:rFonts w:ascii="Times New Roman" w:hAnsi="Times New Roman" w:cs="Times New Roman"/>
                      <w:sz w:val="16"/>
                    </w:rPr>
                    <w:t>8</w:t>
                  </w:r>
                  <w:r w:rsidRPr="00DF41CB">
                    <w:rPr>
                      <w:rFonts w:ascii="Times New Roman" w:hAnsi="Times New Roman" w:cs="Times New Roman"/>
                      <w:sz w:val="16"/>
                    </w:rPr>
                    <w:t xml:space="preserve">: incremental ILI as a Function of HDD: </w:t>
                  </w:r>
                  <w:hyperlink r:id="rId19" w:history="1">
                    <w:r w:rsidRPr="00DF41CB">
                      <w:rPr>
                        <w:rStyle w:val="Hyperlink"/>
                        <w:rFonts w:ascii="Times New Roman" w:hAnsi="Times New Roman" w:cs="Times New Roman"/>
                        <w:sz w:val="16"/>
                      </w:rPr>
                      <w:t>http://www.cdc.gov/flu/weekly/</w:t>
                    </w:r>
                  </w:hyperlink>
                </w:p>
                <w:p w:rsidR="001E7C1A" w:rsidRPr="00DF41CB" w:rsidRDefault="00DF41CB" w:rsidP="00047211">
                  <w:pPr>
                    <w:spacing w:after="0" w:line="240" w:lineRule="auto"/>
                    <w:rPr>
                      <w:rFonts w:ascii="Times New Roman" w:hAnsi="Times New Roman" w:cs="Times New Roman"/>
                      <w:sz w:val="16"/>
                    </w:rPr>
                  </w:pPr>
                  <w:r>
                    <w:rPr>
                      <w:rFonts w:ascii="Times New Roman" w:hAnsi="Times New Roman" w:cs="Times New Roman"/>
                      <w:sz w:val="16"/>
                    </w:rPr>
                    <w:t xml:space="preserve"> </w:t>
                  </w:r>
                  <w:r w:rsidR="001E7C1A" w:rsidRPr="00DF41CB">
                    <w:rPr>
                      <w:rFonts w:ascii="Times New Roman" w:hAnsi="Times New Roman" w:cs="Times New Roman"/>
                      <w:sz w:val="16"/>
                    </w:rPr>
                    <w:t>ILI is represented as incremental percentage from average</w:t>
                  </w:r>
                </w:p>
              </w:txbxContent>
            </v:textbox>
          </v:shape>
        </w:pict>
      </w:r>
      <w:r w:rsidR="001E7C1A" w:rsidRPr="001E7C1A">
        <w:rPr>
          <w:rFonts w:ascii="Times New Roman" w:hAnsi="Times New Roman" w:cs="Times New Roman"/>
          <w:noProof/>
        </w:rPr>
        <w:drawing>
          <wp:inline distT="0" distB="0" distL="0" distR="0">
            <wp:extent cx="5372100" cy="22860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41CB" w:rsidRDefault="00047211" w:rsidP="00047211">
      <w:pPr>
        <w:pStyle w:val="Heading1"/>
        <w:spacing w:line="480" w:lineRule="auto"/>
        <w:jc w:val="both"/>
      </w:pPr>
      <w:bookmarkStart w:id="4" w:name="_Toc238794114"/>
      <w:r>
        <w:t>S</w:t>
      </w:r>
      <w:r w:rsidR="00C6116C">
        <w:t>caling Expense</w:t>
      </w:r>
      <w:r w:rsidR="005C69EB">
        <w:t>s</w:t>
      </w:r>
      <w:r w:rsidR="00C6116C">
        <w:t xml:space="preserve"> to HDD</w:t>
      </w:r>
      <w:bookmarkEnd w:id="4"/>
    </w:p>
    <w:p w:rsidR="0000608F" w:rsidRDefault="0049137A" w:rsidP="00047211">
      <w:pPr>
        <w:pStyle w:val="BodyText"/>
      </w:pPr>
      <w:r>
        <w:t xml:space="preserve">The purpose of the project is to hedge the flu season ILI related claim expenses using HDD Weather Futures. Since our goal is to calculate the most optimal amount of extra expense to be hedged considering the cost of the future contracts, we need to convert HDD metrics into Dollar scale to be able to design the optimal cost-benefit probability model. </w:t>
      </w:r>
      <w:r w:rsidR="00DF41CB">
        <w:t xml:space="preserve">Due to confidentiality of </w:t>
      </w:r>
      <w:r w:rsidR="00DF41CB">
        <w:lastRenderedPageBreak/>
        <w:t xml:space="preserve">claim expense information I will use nominal values as Health Net’s </w:t>
      </w:r>
      <w:r w:rsidR="005C69EB">
        <w:t xml:space="preserve">ILI related </w:t>
      </w:r>
      <w:r w:rsidR="00DF41CB">
        <w:t xml:space="preserve">claim costs. </w:t>
      </w:r>
      <w:r w:rsidR="00FE2D1C">
        <w:t xml:space="preserve">Please note that claim expense information is available for each month with doctor visit reason, visit date and claim date details. </w:t>
      </w:r>
      <w:r w:rsidR="00F8407A">
        <w:t xml:space="preserve">Let's assume that the extra claim expense during flu season has $12 mil </w:t>
      </w:r>
      <w:r>
        <w:t xml:space="preserve">historical </w:t>
      </w:r>
      <w:r w:rsidR="00F8407A">
        <w:t>mean (</w:t>
      </w:r>
      <w:r w:rsidR="004D4405">
        <w:rPr>
          <w:i/>
          <w:iCs/>
        </w:rPr>
        <w:t>µ</w:t>
      </w:r>
      <w:r w:rsidR="00F8407A">
        <w:t>) and $3.2 mil standard deviation (</w:t>
      </w:r>
      <w:r w:rsidR="004D4405">
        <w:rPr>
          <w:i/>
          <w:iCs/>
        </w:rPr>
        <w:t>σ</w:t>
      </w:r>
      <w:r w:rsidR="00F8407A">
        <w:t xml:space="preserve">). </w:t>
      </w:r>
      <w:r w:rsidR="004D4405">
        <w:t xml:space="preserve">The historical HDD </w:t>
      </w:r>
      <w:r w:rsidR="004D4405">
        <w:rPr>
          <w:i/>
          <w:iCs/>
        </w:rPr>
        <w:t xml:space="preserve">µ </w:t>
      </w:r>
      <w:r w:rsidR="00A868C8">
        <w:t>during Januaries</w:t>
      </w:r>
      <w:r w:rsidR="00FE2D1C">
        <w:t xml:space="preserve"> is 260</w:t>
      </w:r>
      <w:r w:rsidR="006C34BD">
        <w:t xml:space="preserve"> with </w:t>
      </w:r>
      <w:r w:rsidR="004D4405">
        <w:rPr>
          <w:i/>
          <w:iCs/>
        </w:rPr>
        <w:t>σ</w:t>
      </w:r>
      <w:r w:rsidR="006C34BD">
        <w:t xml:space="preserve"> </w:t>
      </w:r>
      <w:r w:rsidR="00A868C8">
        <w:t xml:space="preserve">= 60. </w:t>
      </w:r>
      <w:r w:rsidR="00FE2D1C">
        <w:t xml:space="preserve"> T</w:t>
      </w:r>
      <w:r>
        <w:t>herefore, $12 mil corresponds to 26</w:t>
      </w:r>
      <w:r w:rsidR="005C69EB">
        <w:t>0</w:t>
      </w:r>
      <w:r>
        <w:t xml:space="preserve">  HDD and </w:t>
      </w:r>
      <w:r w:rsidR="00FE2D1C">
        <w:t xml:space="preserve">one degree of HDD </w:t>
      </w:r>
      <w:r>
        <w:t>corresponds</w:t>
      </w:r>
      <w:r w:rsidR="00FE2D1C">
        <w:t xml:space="preserve"> to $3.2 mil/60= $53,333. </w:t>
      </w:r>
      <w:r>
        <w:t>Now to cover any expense over $12 mil extra expense, the 13th million and above for example, we will need to purchase one HDD at strike price 260 in our terms, which corresponds to $53,333/$100=533 HDD's, again, at 260 strike price.</w:t>
      </w:r>
      <w:r w:rsidR="00AB0AEA">
        <w:t xml:space="preserve"> Going forward we will discuss the project in dollar terms, which can be converted into real HDD terms using the scale matching strategy in this section. </w:t>
      </w:r>
    </w:p>
    <w:p w:rsidR="00491C25" w:rsidRDefault="00491C25" w:rsidP="00E432F1">
      <w:pPr>
        <w:pStyle w:val="Heading1"/>
        <w:spacing w:line="480" w:lineRule="auto"/>
      </w:pPr>
      <w:bookmarkStart w:id="5" w:name="_Toc238794115"/>
      <w:r>
        <w:t>Cost of Debt</w:t>
      </w:r>
      <w:bookmarkEnd w:id="5"/>
    </w:p>
    <w:p w:rsidR="00491C25" w:rsidRPr="00315E7B" w:rsidRDefault="00491C25" w:rsidP="006F4C0E">
      <w:pPr>
        <w:spacing w:before="100" w:beforeAutospacing="1" w:after="100" w:afterAutospacing="1" w:line="480" w:lineRule="auto"/>
        <w:jc w:val="both"/>
        <w:rPr>
          <w:rFonts w:ascii="Times New Roman" w:eastAsia="Times New Roman" w:hAnsi="Times New Roman" w:cs="Times New Roman"/>
        </w:rPr>
      </w:pPr>
      <w:r w:rsidRPr="00315E7B">
        <w:rPr>
          <w:rFonts w:ascii="Times New Roman" w:eastAsia="Times New Roman" w:hAnsi="Times New Roman" w:cs="Times New Roman"/>
        </w:rPr>
        <w:t xml:space="preserve">Our objective is to find </w:t>
      </w:r>
      <w:r w:rsidRPr="006F4C0E">
        <w:rPr>
          <w:rFonts w:ascii="Times New Roman" w:eastAsia="Times New Roman" w:hAnsi="Times New Roman" w:cs="Times New Roman"/>
        </w:rPr>
        <w:t>futures'</w:t>
      </w:r>
      <w:r w:rsidRPr="00315E7B">
        <w:rPr>
          <w:rFonts w:ascii="Times New Roman" w:eastAsia="Times New Roman" w:hAnsi="Times New Roman" w:cs="Times New Roman"/>
        </w:rPr>
        <w:t xml:space="preserve"> optimal strike price and volume </w:t>
      </w:r>
      <w:r w:rsidRPr="006F4C0E">
        <w:rPr>
          <w:rFonts w:ascii="Times New Roman" w:eastAsia="Times New Roman" w:hAnsi="Times New Roman" w:cs="Times New Roman"/>
        </w:rPr>
        <w:t>to hedge</w:t>
      </w:r>
      <w:r w:rsidRPr="00315E7B">
        <w:rPr>
          <w:rFonts w:ascii="Times New Roman" w:eastAsia="Times New Roman" w:hAnsi="Times New Roman" w:cs="Times New Roman"/>
        </w:rPr>
        <w:t xml:space="preserve"> the enterprise expenses against volatility. For this purpose we introduce the volatility cost of enterprise. On the other hand we</w:t>
      </w:r>
      <w:r w:rsidRPr="006F4C0E">
        <w:rPr>
          <w:rFonts w:ascii="Times New Roman" w:eastAsia="Times New Roman" w:hAnsi="Times New Roman" w:cs="Times New Roman"/>
        </w:rPr>
        <w:t xml:space="preserve"> shall introduce the profit</w:t>
      </w:r>
      <w:r w:rsidRPr="00315E7B">
        <w:rPr>
          <w:rFonts w:ascii="Times New Roman" w:eastAsia="Times New Roman" w:hAnsi="Times New Roman" w:cs="Times New Roman"/>
        </w:rPr>
        <w:t xml:space="preserve"> margin of the issuer of futures. In our model the average amount of </w:t>
      </w:r>
      <w:r w:rsidR="005C69EB">
        <w:rPr>
          <w:rFonts w:ascii="Times New Roman" w:eastAsia="Times New Roman" w:hAnsi="Times New Roman" w:cs="Times New Roman"/>
        </w:rPr>
        <w:t xml:space="preserve">ILI related </w:t>
      </w:r>
      <w:r w:rsidRPr="00315E7B">
        <w:rPr>
          <w:rFonts w:ascii="Times New Roman" w:eastAsia="Times New Roman" w:hAnsi="Times New Roman" w:cs="Times New Roman"/>
        </w:rPr>
        <w:t>expenses (</w:t>
      </w:r>
      <w:r w:rsidRPr="006F4C0E">
        <w:rPr>
          <w:rFonts w:ascii="Times New Roman" w:eastAsia="Times New Roman" w:hAnsi="Times New Roman" w:cs="Times New Roman"/>
          <w:i/>
          <w:iCs/>
        </w:rPr>
        <w:t>µ</w:t>
      </w:r>
      <w:r w:rsidRPr="00315E7B">
        <w:rPr>
          <w:rFonts w:ascii="Times New Roman" w:eastAsia="Times New Roman" w:hAnsi="Times New Roman" w:cs="Times New Roman"/>
        </w:rPr>
        <w:t>) is equal to $12</w:t>
      </w:r>
      <w:r w:rsidR="005C69EB">
        <w:rPr>
          <w:rFonts w:ascii="Times New Roman" w:eastAsia="Times New Roman" w:hAnsi="Times New Roman" w:cs="Times New Roman"/>
        </w:rPr>
        <w:t xml:space="preserve"> </w:t>
      </w:r>
      <w:r w:rsidRPr="00315E7B">
        <w:rPr>
          <w:rFonts w:ascii="Times New Roman" w:eastAsia="Times New Roman" w:hAnsi="Times New Roman" w:cs="Times New Roman"/>
        </w:rPr>
        <w:t>m</w:t>
      </w:r>
      <w:r w:rsidR="005C69EB">
        <w:rPr>
          <w:rFonts w:ascii="Times New Roman" w:eastAsia="Times New Roman" w:hAnsi="Times New Roman" w:cs="Times New Roman"/>
        </w:rPr>
        <w:t>il</w:t>
      </w:r>
      <w:r w:rsidRPr="00315E7B">
        <w:rPr>
          <w:rFonts w:ascii="Times New Roman" w:eastAsia="Times New Roman" w:hAnsi="Times New Roman" w:cs="Times New Roman"/>
        </w:rPr>
        <w:t xml:space="preserve"> and the variance (</w:t>
      </w:r>
      <w:r w:rsidRPr="006F4C0E">
        <w:rPr>
          <w:rFonts w:ascii="Times New Roman" w:eastAsia="Times New Roman" w:hAnsi="Times New Roman" w:cs="Times New Roman"/>
          <w:i/>
          <w:iCs/>
        </w:rPr>
        <w:t>σ</w:t>
      </w:r>
      <w:r w:rsidRPr="00315E7B">
        <w:rPr>
          <w:rFonts w:ascii="Times New Roman" w:eastAsia="Times New Roman" w:hAnsi="Times New Roman" w:cs="Times New Roman"/>
        </w:rPr>
        <w:t>) is equal to $3.2</w:t>
      </w:r>
      <w:r w:rsidR="005C69EB">
        <w:rPr>
          <w:rFonts w:ascii="Times New Roman" w:eastAsia="Times New Roman" w:hAnsi="Times New Roman" w:cs="Times New Roman"/>
        </w:rPr>
        <w:t xml:space="preserve"> </w:t>
      </w:r>
      <w:r w:rsidRPr="00315E7B">
        <w:rPr>
          <w:rFonts w:ascii="Times New Roman" w:eastAsia="Times New Roman" w:hAnsi="Times New Roman" w:cs="Times New Roman"/>
        </w:rPr>
        <w:t>m</w:t>
      </w:r>
      <w:r w:rsidR="005C69EB">
        <w:rPr>
          <w:rFonts w:ascii="Times New Roman" w:eastAsia="Times New Roman" w:hAnsi="Times New Roman" w:cs="Times New Roman"/>
        </w:rPr>
        <w:t>il</w:t>
      </w:r>
      <w:r w:rsidRPr="00315E7B">
        <w:rPr>
          <w:rFonts w:ascii="Times New Roman" w:eastAsia="Times New Roman" w:hAnsi="Times New Roman" w:cs="Times New Roman"/>
        </w:rPr>
        <w:t>. The cost of the volatility is introduced via two parameters. A debt cost (</w:t>
      </w:r>
      <w:proofErr w:type="spellStart"/>
      <w:r w:rsidRPr="00315E7B">
        <w:rPr>
          <w:rFonts w:ascii="Times New Roman" w:eastAsia="Times New Roman" w:hAnsi="Times New Roman" w:cs="Times New Roman"/>
          <w:i/>
          <w:iCs/>
        </w:rPr>
        <w:t>debtc</w:t>
      </w:r>
      <w:proofErr w:type="spellEnd"/>
      <w:r w:rsidR="005C69EB">
        <w:rPr>
          <w:rFonts w:ascii="Times New Roman" w:eastAsia="Times New Roman" w:hAnsi="Times New Roman" w:cs="Times New Roman"/>
        </w:rPr>
        <w:t>) in</w:t>
      </w:r>
      <w:r w:rsidRPr="00315E7B">
        <w:rPr>
          <w:rFonts w:ascii="Times New Roman" w:eastAsia="Times New Roman" w:hAnsi="Times New Roman" w:cs="Times New Roman"/>
        </w:rPr>
        <w:t xml:space="preserve"> the case when the enterprise expenses end up at their mean (</w:t>
      </w:r>
      <w:r w:rsidRPr="006F4C0E">
        <w:rPr>
          <w:rFonts w:ascii="Times New Roman" w:eastAsia="Times New Roman" w:hAnsi="Times New Roman" w:cs="Times New Roman"/>
          <w:i/>
          <w:iCs/>
        </w:rPr>
        <w:t>µ</w:t>
      </w:r>
      <w:r w:rsidRPr="00315E7B">
        <w:rPr>
          <w:rFonts w:ascii="Times New Roman" w:eastAsia="Times New Roman" w:hAnsi="Times New Roman" w:cs="Times New Roman"/>
        </w:rPr>
        <w:t>), and a multiplication factor (</w:t>
      </w:r>
      <w:proofErr w:type="spellStart"/>
      <w:r w:rsidRPr="00315E7B">
        <w:rPr>
          <w:rFonts w:ascii="Times New Roman" w:eastAsia="Times New Roman" w:hAnsi="Times New Roman" w:cs="Times New Roman"/>
          <w:i/>
          <w:iCs/>
        </w:rPr>
        <w:t>debtk</w:t>
      </w:r>
      <w:proofErr w:type="spellEnd"/>
      <w:r w:rsidRPr="00315E7B">
        <w:rPr>
          <w:rFonts w:ascii="Times New Roman" w:eastAsia="Times New Roman" w:hAnsi="Times New Roman" w:cs="Times New Roman"/>
        </w:rPr>
        <w:t>) by which the debt co</w:t>
      </w:r>
      <w:r w:rsidR="005C69EB">
        <w:rPr>
          <w:rFonts w:ascii="Times New Roman" w:eastAsia="Times New Roman" w:hAnsi="Times New Roman" w:cs="Times New Roman"/>
        </w:rPr>
        <w:t>st of enterprise would increase</w:t>
      </w:r>
      <w:r w:rsidRPr="00315E7B">
        <w:rPr>
          <w:rFonts w:ascii="Times New Roman" w:eastAsia="Times New Roman" w:hAnsi="Times New Roman" w:cs="Times New Roman"/>
        </w:rPr>
        <w:t xml:space="preserve"> if the company ends up with an expense higher from the average by </w:t>
      </w:r>
      <w:r w:rsidRPr="006F4C0E">
        <w:rPr>
          <w:rFonts w:ascii="Times New Roman" w:eastAsia="Times New Roman" w:hAnsi="Times New Roman" w:cs="Times New Roman"/>
          <w:i/>
          <w:iCs/>
        </w:rPr>
        <w:t>σ</w:t>
      </w:r>
      <w:r w:rsidRPr="00315E7B">
        <w:rPr>
          <w:rFonts w:ascii="Times New Roman" w:eastAsia="Times New Roman" w:hAnsi="Times New Roman" w:cs="Times New Roman"/>
        </w:rPr>
        <w:t xml:space="preserve"> (i.e. </w:t>
      </w:r>
      <w:r w:rsidRPr="006F4C0E">
        <w:rPr>
          <w:rFonts w:ascii="Times New Roman" w:eastAsia="Times New Roman" w:hAnsi="Times New Roman" w:cs="Times New Roman"/>
          <w:i/>
          <w:iCs/>
        </w:rPr>
        <w:t>µ</w:t>
      </w:r>
      <w:r w:rsidRPr="006F4C0E">
        <w:rPr>
          <w:rFonts w:ascii="Times New Roman" w:eastAsia="Times New Roman" w:hAnsi="Times New Roman" w:cs="Times New Roman"/>
        </w:rPr>
        <w:t xml:space="preserve">  </w:t>
      </w:r>
      <w:r w:rsidRPr="00315E7B">
        <w:rPr>
          <w:rFonts w:ascii="Times New Roman" w:eastAsia="Times New Roman" w:hAnsi="Times New Roman" w:cs="Times New Roman"/>
        </w:rPr>
        <w:t>+</w:t>
      </w:r>
      <w:r w:rsidRPr="006F4C0E">
        <w:rPr>
          <w:rFonts w:ascii="Times New Roman" w:eastAsia="Times New Roman" w:hAnsi="Times New Roman" w:cs="Times New Roman"/>
          <w:i/>
          <w:iCs/>
        </w:rPr>
        <w:t xml:space="preserve"> σ</w:t>
      </w:r>
      <w:r w:rsidRPr="00315E7B">
        <w:rPr>
          <w:rFonts w:ascii="Times New Roman" w:eastAsia="Times New Roman" w:hAnsi="Times New Roman" w:cs="Times New Roman"/>
        </w:rPr>
        <w:t xml:space="preserve">). The higher is </w:t>
      </w:r>
      <w:proofErr w:type="spellStart"/>
      <w:r w:rsidRPr="005C69EB">
        <w:rPr>
          <w:rFonts w:ascii="Times New Roman" w:eastAsia="Times New Roman" w:hAnsi="Times New Roman" w:cs="Times New Roman"/>
          <w:i/>
        </w:rPr>
        <w:t>debtk</w:t>
      </w:r>
      <w:proofErr w:type="spellEnd"/>
      <w:r w:rsidRPr="00315E7B">
        <w:rPr>
          <w:rFonts w:ascii="Times New Roman" w:eastAsia="Times New Roman" w:hAnsi="Times New Roman" w:cs="Times New Roman"/>
        </w:rPr>
        <w:t xml:space="preserve"> the higher is the interest to stay closer to </w:t>
      </w:r>
      <w:r w:rsidRPr="006F4C0E">
        <w:rPr>
          <w:rFonts w:ascii="Times New Roman" w:eastAsia="Times New Roman" w:hAnsi="Times New Roman" w:cs="Times New Roman"/>
          <w:i/>
          <w:iCs/>
        </w:rPr>
        <w:t>µ</w:t>
      </w:r>
      <w:r w:rsidRPr="00315E7B">
        <w:rPr>
          <w:rFonts w:ascii="Times New Roman" w:eastAsia="Times New Roman" w:hAnsi="Times New Roman" w:cs="Times New Roman"/>
        </w:rPr>
        <w:t xml:space="preserve"> (the average being </w:t>
      </w:r>
      <w:r w:rsidR="005C69EB">
        <w:rPr>
          <w:rFonts w:ascii="Times New Roman" w:eastAsia="Times New Roman" w:hAnsi="Times New Roman" w:cs="Times New Roman"/>
        </w:rPr>
        <w:t xml:space="preserve"> </w:t>
      </w:r>
      <w:r w:rsidRPr="00315E7B">
        <w:rPr>
          <w:rFonts w:ascii="Times New Roman" w:eastAsia="Times New Roman" w:hAnsi="Times New Roman" w:cs="Times New Roman"/>
        </w:rPr>
        <w:t xml:space="preserve">equal to </w:t>
      </w:r>
      <w:r w:rsidRPr="006F4C0E">
        <w:rPr>
          <w:rFonts w:ascii="Times New Roman" w:eastAsia="Times New Roman" w:hAnsi="Times New Roman" w:cs="Times New Roman"/>
          <w:i/>
          <w:iCs/>
        </w:rPr>
        <w:t>µ</w:t>
      </w:r>
      <w:r w:rsidRPr="00315E7B">
        <w:rPr>
          <w:rFonts w:ascii="Times New Roman" w:eastAsia="Times New Roman" w:hAnsi="Times New Roman" w:cs="Times New Roman"/>
        </w:rPr>
        <w:t>).</w:t>
      </w:r>
    </w:p>
    <w:p w:rsidR="00491C25" w:rsidRPr="00315E7B" w:rsidRDefault="00491C25" w:rsidP="006F4C0E">
      <w:pPr>
        <w:spacing w:before="100" w:beforeAutospacing="1" w:after="100" w:afterAutospacing="1" w:line="480" w:lineRule="auto"/>
        <w:jc w:val="both"/>
        <w:rPr>
          <w:rFonts w:ascii="Times New Roman" w:eastAsia="Times New Roman" w:hAnsi="Times New Roman" w:cs="Times New Roman"/>
        </w:rPr>
      </w:pPr>
      <w:r w:rsidRPr="006F4C0E">
        <w:rPr>
          <w:rFonts w:ascii="Times New Roman" w:eastAsia="Times New Roman" w:hAnsi="Times New Roman" w:cs="Times New Roman"/>
        </w:rPr>
        <w:t>W</w:t>
      </w:r>
      <w:r w:rsidRPr="00315E7B">
        <w:rPr>
          <w:rFonts w:ascii="Times New Roman" w:eastAsia="Times New Roman" w:hAnsi="Times New Roman" w:cs="Times New Roman"/>
        </w:rPr>
        <w:t>e assume that the default debt cost (</w:t>
      </w:r>
      <w:proofErr w:type="spellStart"/>
      <w:r w:rsidRPr="00315E7B">
        <w:rPr>
          <w:rFonts w:ascii="Times New Roman" w:eastAsia="Times New Roman" w:hAnsi="Times New Roman" w:cs="Times New Roman"/>
          <w:i/>
          <w:iCs/>
        </w:rPr>
        <w:t>debtc</w:t>
      </w:r>
      <w:proofErr w:type="spellEnd"/>
      <w:r w:rsidRPr="00315E7B">
        <w:rPr>
          <w:rFonts w:ascii="Times New Roman" w:eastAsia="Times New Roman" w:hAnsi="Times New Roman" w:cs="Times New Roman"/>
        </w:rPr>
        <w:t>) is equal to $300’000 (the default price applicable for all scenarios where expenses end up at the average of $12</w:t>
      </w:r>
      <w:r w:rsidR="009B732E">
        <w:rPr>
          <w:rFonts w:ascii="Times New Roman" w:eastAsia="Times New Roman" w:hAnsi="Times New Roman" w:cs="Times New Roman"/>
        </w:rPr>
        <w:t xml:space="preserve"> </w:t>
      </w:r>
      <w:r w:rsidRPr="00315E7B">
        <w:rPr>
          <w:rFonts w:ascii="Times New Roman" w:eastAsia="Times New Roman" w:hAnsi="Times New Roman" w:cs="Times New Roman"/>
        </w:rPr>
        <w:t>m</w:t>
      </w:r>
      <w:r w:rsidR="009B732E">
        <w:rPr>
          <w:rFonts w:ascii="Times New Roman" w:eastAsia="Times New Roman" w:hAnsi="Times New Roman" w:cs="Times New Roman"/>
        </w:rPr>
        <w:t>il</w:t>
      </w:r>
      <w:r w:rsidRPr="00315E7B">
        <w:rPr>
          <w:rFonts w:ascii="Times New Roman" w:eastAsia="Times New Roman" w:hAnsi="Times New Roman" w:cs="Times New Roman"/>
        </w:rPr>
        <w:t>). The multiplication factor (</w:t>
      </w:r>
      <w:proofErr w:type="spellStart"/>
      <w:r w:rsidRPr="00315E7B">
        <w:rPr>
          <w:rFonts w:ascii="Times New Roman" w:eastAsia="Times New Roman" w:hAnsi="Times New Roman" w:cs="Times New Roman"/>
          <w:i/>
          <w:iCs/>
        </w:rPr>
        <w:t>debtk</w:t>
      </w:r>
      <w:proofErr w:type="spellEnd"/>
      <w:r w:rsidRPr="00315E7B">
        <w:rPr>
          <w:rFonts w:ascii="Times New Roman" w:eastAsia="Times New Roman" w:hAnsi="Times New Roman" w:cs="Times New Roman"/>
        </w:rPr>
        <w:t xml:space="preserve">) is a parameter changing from 1.5 to 5. For instance if this factor is 2, it means that if the enterprise ends up </w:t>
      </w:r>
      <w:r w:rsidRPr="00315E7B">
        <w:rPr>
          <w:rFonts w:ascii="Times New Roman" w:eastAsia="Times New Roman" w:hAnsi="Times New Roman" w:cs="Times New Roman"/>
        </w:rPr>
        <w:lastRenderedPageBreak/>
        <w:t>with an expense of $15.2</w:t>
      </w:r>
      <w:r w:rsidR="009B732E">
        <w:rPr>
          <w:rFonts w:ascii="Times New Roman" w:eastAsia="Times New Roman" w:hAnsi="Times New Roman" w:cs="Times New Roman"/>
        </w:rPr>
        <w:t xml:space="preserve"> </w:t>
      </w:r>
      <w:r w:rsidRPr="00315E7B">
        <w:rPr>
          <w:rFonts w:ascii="Times New Roman" w:eastAsia="Times New Roman" w:hAnsi="Times New Roman" w:cs="Times New Roman"/>
        </w:rPr>
        <w:t>m</w:t>
      </w:r>
      <w:r w:rsidR="009B732E">
        <w:rPr>
          <w:rFonts w:ascii="Times New Roman" w:eastAsia="Times New Roman" w:hAnsi="Times New Roman" w:cs="Times New Roman"/>
        </w:rPr>
        <w:t>il</w:t>
      </w:r>
      <w:r w:rsidRPr="00315E7B">
        <w:rPr>
          <w:rFonts w:ascii="Times New Roman" w:eastAsia="Times New Roman" w:hAnsi="Times New Roman" w:cs="Times New Roman"/>
        </w:rPr>
        <w:t xml:space="preserve"> (i.e. one </w:t>
      </w:r>
      <w:r w:rsidRPr="006F4C0E">
        <w:rPr>
          <w:rFonts w:ascii="Times New Roman" w:eastAsia="Times New Roman" w:hAnsi="Times New Roman" w:cs="Times New Roman"/>
          <w:i/>
          <w:iCs/>
        </w:rPr>
        <w:t>σ</w:t>
      </w:r>
      <w:r w:rsidRPr="00315E7B">
        <w:rPr>
          <w:rFonts w:ascii="Times New Roman" w:eastAsia="Times New Roman" w:hAnsi="Times New Roman" w:cs="Times New Roman"/>
        </w:rPr>
        <w:t xml:space="preserve"> away from the </w:t>
      </w:r>
      <w:r w:rsidRPr="006F4C0E">
        <w:rPr>
          <w:rFonts w:ascii="Times New Roman" w:eastAsia="Times New Roman" w:hAnsi="Times New Roman" w:cs="Times New Roman"/>
          <w:i/>
          <w:iCs/>
        </w:rPr>
        <w:t>µ</w:t>
      </w:r>
      <w:r w:rsidRPr="00315E7B">
        <w:rPr>
          <w:rFonts w:ascii="Times New Roman" w:eastAsia="Times New Roman" w:hAnsi="Times New Roman" w:cs="Times New Roman"/>
        </w:rPr>
        <w:t>), it will cost extra $600’000 to the company (e.g. due to short-term debt interests).</w:t>
      </w:r>
    </w:p>
    <w:p w:rsidR="006F4C0E" w:rsidRDefault="006F4C0E" w:rsidP="006F4C0E">
      <w:pPr>
        <w:pStyle w:val="Heading1"/>
        <w:spacing w:line="480" w:lineRule="auto"/>
      </w:pPr>
      <w:bookmarkStart w:id="6" w:name="_Toc238794116"/>
      <w:r>
        <w:t>P</w:t>
      </w:r>
      <w:r w:rsidRPr="00315E7B">
        <w:t>rice probability density transformation</w:t>
      </w:r>
      <w:bookmarkEnd w:id="6"/>
    </w:p>
    <w:p w:rsidR="006F4C0E" w:rsidRDefault="0069096F" w:rsidP="006F4C0E">
      <w:pPr>
        <w:spacing w:line="480" w:lineRule="auto"/>
        <w:jc w:val="both"/>
        <w:rPr>
          <w:rFonts w:ascii="Times New Roman" w:eastAsia="Times New Roman" w:hAnsi="Times New Roman" w:cs="Times New Roman"/>
        </w:rPr>
      </w:pPr>
      <w:r>
        <w:rPr>
          <w:rFonts w:ascii="Times New Roman" w:eastAsia="Times New Roman" w:hAnsi="Times New Roman" w:cs="Times New Roman"/>
        </w:rPr>
        <w:t>In this section w</w:t>
      </w:r>
      <w:r w:rsidR="006F4C0E" w:rsidRPr="006F4C0E">
        <w:rPr>
          <w:rFonts w:ascii="Times New Roman" w:eastAsia="Times New Roman" w:hAnsi="Times New Roman" w:cs="Times New Roman"/>
        </w:rPr>
        <w:t xml:space="preserve">e analyze transformations of a probability density of an operation </w:t>
      </w:r>
      <w:r>
        <w:rPr>
          <w:rFonts w:ascii="Times New Roman" w:eastAsia="Times New Roman" w:hAnsi="Times New Roman" w:cs="Times New Roman"/>
        </w:rPr>
        <w:t>cost</w:t>
      </w:r>
      <w:r w:rsidR="006F4C0E" w:rsidRPr="006F4C0E">
        <w:rPr>
          <w:rFonts w:ascii="Times New Roman" w:eastAsia="Times New Roman" w:hAnsi="Times New Roman" w:cs="Times New Roman"/>
        </w:rPr>
        <w:t xml:space="preserve">, caused by purchases of futures (issued on </w:t>
      </w:r>
      <w:r>
        <w:rPr>
          <w:rFonts w:ascii="Times New Roman" w:eastAsia="Times New Roman" w:hAnsi="Times New Roman" w:cs="Times New Roman"/>
        </w:rPr>
        <w:t>the same level of the cost</w:t>
      </w:r>
      <w:r w:rsidR="006F4C0E" w:rsidRPr="006F4C0E">
        <w:rPr>
          <w:rFonts w:ascii="Times New Roman" w:eastAsia="Times New Roman" w:hAnsi="Times New Roman" w:cs="Times New Roman"/>
        </w:rPr>
        <w:t xml:space="preserve">). We assume two free variables in the purchasing of futures, the strike price and the quantity of futures. We assume that all futures are purchased with the same strike price. When </w:t>
      </w:r>
      <w:r>
        <w:rPr>
          <w:rFonts w:ascii="Times New Roman" w:eastAsia="Times New Roman" w:hAnsi="Times New Roman" w:cs="Times New Roman"/>
        </w:rPr>
        <w:t>the</w:t>
      </w:r>
      <w:r w:rsidR="006F4C0E" w:rsidRPr="006F4C0E">
        <w:rPr>
          <w:rFonts w:ascii="Times New Roman" w:eastAsia="Times New Roman" w:hAnsi="Times New Roman" w:cs="Times New Roman"/>
        </w:rPr>
        <w:t xml:space="preserve"> operation cost exceeds the strike price, the futures </w:t>
      </w:r>
      <w:r>
        <w:rPr>
          <w:rFonts w:ascii="Times New Roman" w:eastAsia="Times New Roman" w:hAnsi="Times New Roman" w:cs="Times New Roman"/>
        </w:rPr>
        <w:t>cover the</w:t>
      </w:r>
      <w:r w:rsidR="006F4C0E" w:rsidRPr="006F4C0E">
        <w:rPr>
          <w:rFonts w:ascii="Times New Roman" w:eastAsia="Times New Roman" w:hAnsi="Times New Roman" w:cs="Times New Roman"/>
        </w:rPr>
        <w:t xml:space="preserve"> given percentage of the </w:t>
      </w:r>
      <w:r w:rsidRPr="006F4C0E">
        <w:rPr>
          <w:rFonts w:ascii="Times New Roman" w:eastAsia="Times New Roman" w:hAnsi="Times New Roman" w:cs="Times New Roman"/>
        </w:rPr>
        <w:t xml:space="preserve">operation cost </w:t>
      </w:r>
      <w:r>
        <w:rPr>
          <w:rFonts w:ascii="Times New Roman" w:eastAsia="Times New Roman" w:hAnsi="Times New Roman" w:cs="Times New Roman"/>
        </w:rPr>
        <w:t xml:space="preserve"> excess</w:t>
      </w:r>
      <w:r w:rsidR="006F4C0E" w:rsidRPr="006F4C0E">
        <w:rPr>
          <w:rFonts w:ascii="Times New Roman" w:eastAsia="Times New Roman" w:hAnsi="Times New Roman" w:cs="Times New Roman"/>
        </w:rPr>
        <w:t>. That percentage depends on the amount of futures purchased. It can vary from 0% to 100% (underinsurance) or can be more than 100% (over-insurance). The choice of the quantity of purchased futures determines the insurance ratio.</w:t>
      </w:r>
    </w:p>
    <w:p w:rsidR="006F4C0E" w:rsidRPr="006F4C0E" w:rsidRDefault="006F4C0E" w:rsidP="006F4C0E">
      <w:pPr>
        <w:spacing w:before="100" w:beforeAutospacing="1" w:after="100" w:afterAutospacing="1" w:line="240" w:lineRule="auto"/>
        <w:rPr>
          <w:rFonts w:ascii="Times New Roman" w:eastAsia="Times New Roman" w:hAnsi="Times New Roman" w:cs="Times New Roman"/>
          <w:sz w:val="24"/>
          <w:szCs w:val="24"/>
        </w:rPr>
      </w:pPr>
      <w:r w:rsidRPr="006F4C0E">
        <w:rPr>
          <w:rFonts w:ascii="Times New Roman" w:eastAsia="Times New Roman" w:hAnsi="Times New Roman" w:cs="Times New Roman"/>
          <w:sz w:val="24"/>
          <w:szCs w:val="24"/>
        </w:rPr>
        <w:t>The probability density of the hedged price is computed as follows:</w:t>
      </w:r>
    </w:p>
    <w:p w:rsidR="006F4C0E" w:rsidRPr="006F4C0E" w:rsidRDefault="0069096F" w:rsidP="006F4C0E">
      <w:pPr>
        <w:spacing w:before="100" w:beforeAutospacing="1" w:after="100" w:afterAutospacing="1" w:line="240" w:lineRule="auto"/>
        <w:rPr>
          <w:rFonts w:ascii="Times New Roman" w:eastAsia="Times New Roman" w:hAnsi="Times New Roman" w:cs="Times New Roman"/>
          <w:sz w:val="24"/>
          <w:szCs w:val="24"/>
        </w:rPr>
      </w:pPr>
      <w:r w:rsidRPr="0069096F">
        <w:rPr>
          <w:position w:val="-68"/>
        </w:rPr>
        <w:object w:dxaOrig="12700" w:dyaOrig="1480">
          <v:shape id="_x0000_i1049" type="#_x0000_t75" style="width:477.75pt;height:55.5pt" o:ole="">
            <v:imagedata r:id="rId21" o:title=""/>
          </v:shape>
          <o:OLEObject Type="Embed" ProgID="Equation.3" ShapeID="_x0000_i1049" DrawAspect="Content" ObjectID="_1312536501" r:id="rId22"/>
        </w:object>
      </w:r>
      <w:r w:rsidR="006F4C0E" w:rsidRPr="006F4C0E">
        <w:rPr>
          <w:rFonts w:ascii="Times New Roman" w:eastAsia="Times New Roman" w:hAnsi="Times New Roman" w:cs="Times New Roman"/>
          <w:sz w:val="24"/>
          <w:szCs w:val="24"/>
        </w:rPr>
        <w:t>Where:</w:t>
      </w:r>
    </w:p>
    <w:p w:rsidR="006F4C0E" w:rsidRPr="006F4C0E" w:rsidRDefault="006F4C0E" w:rsidP="006F4C0E">
      <w:pPr>
        <w:spacing w:before="100" w:beforeAutospacing="1" w:after="100" w:afterAutospacing="1" w:line="240" w:lineRule="auto"/>
        <w:rPr>
          <w:rFonts w:ascii="Times New Roman" w:eastAsia="Times New Roman" w:hAnsi="Times New Roman" w:cs="Times New Roman"/>
          <w:sz w:val="24"/>
          <w:szCs w:val="24"/>
        </w:rPr>
      </w:pPr>
      <w:r w:rsidRPr="006F4C0E">
        <w:rPr>
          <w:rFonts w:ascii="Times New Roman" w:eastAsia="Times New Roman" w:hAnsi="Times New Roman" w:cs="Times New Roman"/>
          <w:i/>
          <w:iCs/>
          <w:sz w:val="24"/>
          <w:szCs w:val="24"/>
        </w:rPr>
        <w:t>c</w:t>
      </w:r>
      <w:r w:rsidRPr="006F4C0E">
        <w:rPr>
          <w:rFonts w:ascii="Times New Roman" w:eastAsia="Times New Roman" w:hAnsi="Times New Roman" w:cs="Times New Roman"/>
          <w:sz w:val="24"/>
          <w:szCs w:val="24"/>
        </w:rPr>
        <w:t xml:space="preserve"> is the cost of purchased futures</w:t>
      </w:r>
    </w:p>
    <w:p w:rsidR="006F4C0E" w:rsidRPr="006F4C0E" w:rsidRDefault="006F4C0E" w:rsidP="006F4C0E">
      <w:pPr>
        <w:spacing w:before="100" w:beforeAutospacing="1" w:after="100" w:afterAutospacing="1" w:line="240" w:lineRule="auto"/>
        <w:rPr>
          <w:rFonts w:ascii="Times New Roman" w:eastAsia="Times New Roman" w:hAnsi="Times New Roman" w:cs="Times New Roman"/>
          <w:sz w:val="24"/>
          <w:szCs w:val="24"/>
        </w:rPr>
      </w:pPr>
      <w:proofErr w:type="spellStart"/>
      <w:r w:rsidRPr="006F4C0E">
        <w:rPr>
          <w:rFonts w:ascii="Times New Roman" w:eastAsia="Times New Roman" w:hAnsi="Times New Roman" w:cs="Times New Roman"/>
          <w:i/>
          <w:iCs/>
          <w:sz w:val="24"/>
          <w:szCs w:val="24"/>
        </w:rPr>
        <w:t>a</w:t>
      </w:r>
      <w:proofErr w:type="spellEnd"/>
      <w:r w:rsidRPr="006F4C0E">
        <w:rPr>
          <w:rFonts w:ascii="Times New Roman" w:eastAsia="Times New Roman" w:hAnsi="Times New Roman" w:cs="Times New Roman"/>
          <w:sz w:val="24"/>
          <w:szCs w:val="24"/>
        </w:rPr>
        <w:t xml:space="preserve"> is the strike price</w:t>
      </w:r>
    </w:p>
    <w:p w:rsidR="006F4C0E" w:rsidRPr="006F4C0E" w:rsidRDefault="006F4C0E" w:rsidP="006F4C0E">
      <w:pPr>
        <w:spacing w:before="100" w:beforeAutospacing="1" w:after="100" w:afterAutospacing="1" w:line="240" w:lineRule="auto"/>
        <w:rPr>
          <w:rFonts w:ascii="Times New Roman" w:eastAsia="Times New Roman" w:hAnsi="Times New Roman" w:cs="Times New Roman"/>
          <w:sz w:val="24"/>
          <w:szCs w:val="24"/>
        </w:rPr>
      </w:pPr>
      <w:r w:rsidRPr="006F4C0E">
        <w:rPr>
          <w:rFonts w:ascii="Times New Roman" w:eastAsia="Times New Roman" w:hAnsi="Times New Roman" w:cs="Times New Roman"/>
          <w:i/>
          <w:iCs/>
          <w:sz w:val="24"/>
          <w:szCs w:val="24"/>
        </w:rPr>
        <w:t>k</w:t>
      </w:r>
      <w:r w:rsidRPr="006F4C0E">
        <w:rPr>
          <w:rFonts w:ascii="Times New Roman" w:eastAsia="Times New Roman" w:hAnsi="Times New Roman" w:cs="Times New Roman"/>
          <w:sz w:val="24"/>
          <w:szCs w:val="24"/>
        </w:rPr>
        <w:t xml:space="preserve"> is the insurance ratio (1 corresponds to 100%)</w:t>
      </w:r>
    </w:p>
    <w:p w:rsidR="006F4C0E" w:rsidRPr="006F4C0E" w:rsidRDefault="006F4C0E" w:rsidP="006F4C0E">
      <w:pPr>
        <w:spacing w:before="100" w:beforeAutospacing="1" w:after="100" w:afterAutospacing="1" w:line="240" w:lineRule="auto"/>
        <w:rPr>
          <w:rFonts w:ascii="Times New Roman" w:eastAsia="Times New Roman" w:hAnsi="Times New Roman" w:cs="Times New Roman"/>
          <w:sz w:val="24"/>
          <w:szCs w:val="24"/>
        </w:rPr>
      </w:pPr>
      <w:r w:rsidRPr="006F4C0E">
        <w:rPr>
          <w:rFonts w:ascii="Times New Roman" w:eastAsia="Times New Roman" w:hAnsi="Times New Roman" w:cs="Times New Roman"/>
          <w:sz w:val="24"/>
          <w:szCs w:val="24"/>
        </w:rPr>
        <w:t> Obviously:</w:t>
      </w:r>
    </w:p>
    <w:p w:rsidR="006F4C0E" w:rsidRDefault="000C7013" w:rsidP="006F4C0E">
      <w:pPr>
        <w:spacing w:line="480" w:lineRule="auto"/>
        <w:jc w:val="both"/>
        <w:rPr>
          <w:rFonts w:ascii="Times New Roman" w:eastAsia="Times New Roman" w:hAnsi="Times New Roman" w:cs="Times New Roman"/>
        </w:rPr>
      </w:pPr>
      <w:r w:rsidRPr="00D931B0">
        <w:rPr>
          <w:position w:val="-34"/>
        </w:rPr>
        <w:object w:dxaOrig="4380" w:dyaOrig="800">
          <v:shape id="_x0000_i1026" type="#_x0000_t75" style="width:219pt;height:39.75pt" o:ole="">
            <v:imagedata r:id="rId23" o:title=""/>
          </v:shape>
          <o:OLEObject Type="Embed" ProgID="Equation.3" ShapeID="_x0000_i1026" DrawAspect="Content" ObjectID="_1312536502" r:id="rId24"/>
        </w:object>
      </w:r>
    </w:p>
    <w:p w:rsidR="006F4C0E" w:rsidRDefault="006F4C0E" w:rsidP="006F4C0E">
      <w:pPr>
        <w:spacing w:line="480" w:lineRule="auto"/>
        <w:jc w:val="both"/>
        <w:rPr>
          <w:rFonts w:ascii="Times New Roman" w:hAnsi="Times New Roman" w:cs="Times New Roman"/>
        </w:rPr>
      </w:pPr>
      <w:r w:rsidRPr="006F4C0E">
        <w:rPr>
          <w:rFonts w:ascii="Times New Roman" w:hAnsi="Times New Roman" w:cs="Times New Roman"/>
        </w:rPr>
        <w:t xml:space="preserve">The following </w:t>
      </w:r>
      <w:r w:rsidR="003774EB">
        <w:rPr>
          <w:rFonts w:ascii="Times New Roman" w:hAnsi="Times New Roman" w:cs="Times New Roman"/>
        </w:rPr>
        <w:t>animation</w:t>
      </w:r>
      <w:r w:rsidRPr="006F4C0E">
        <w:rPr>
          <w:rFonts w:ascii="Times New Roman" w:hAnsi="Times New Roman" w:cs="Times New Roman"/>
        </w:rPr>
        <w:t xml:space="preserve"> shows </w:t>
      </w:r>
      <w:r w:rsidR="0069096F">
        <w:rPr>
          <w:rFonts w:ascii="Times New Roman" w:hAnsi="Times New Roman" w:cs="Times New Roman"/>
        </w:rPr>
        <w:t xml:space="preserve"> </w:t>
      </w:r>
      <w:r w:rsidRPr="006F4C0E">
        <w:rPr>
          <w:rFonts w:ascii="Times New Roman" w:hAnsi="Times New Roman" w:cs="Times New Roman"/>
        </w:rPr>
        <w:t>how the probability curve of price changes when the ratio of insurance changes from 10% to 250%. The strike price is the same in all samples. The cost of futures is computed with a very simplified emp</w:t>
      </w:r>
      <w:r w:rsidR="0069096F">
        <w:rPr>
          <w:rFonts w:ascii="Times New Roman" w:hAnsi="Times New Roman" w:cs="Times New Roman"/>
        </w:rPr>
        <w:t xml:space="preserve">iric formula (it is sufficient </w:t>
      </w:r>
      <w:r w:rsidRPr="006F4C0E">
        <w:rPr>
          <w:rFonts w:ascii="Times New Roman" w:hAnsi="Times New Roman" w:cs="Times New Roman"/>
        </w:rPr>
        <w:t xml:space="preserve">for this demonstration). As expected, this </w:t>
      </w:r>
      <w:r w:rsidRPr="006F4C0E">
        <w:rPr>
          <w:rFonts w:ascii="Times New Roman" w:hAnsi="Times New Roman" w:cs="Times New Roman"/>
        </w:rPr>
        <w:lastRenderedPageBreak/>
        <w:t>animation shows that the more you increase the insurance ratio toward 100%, the narrower the volatility of your prices becomes. We also see that the price, when over insured, never exceeds the strike price plus the cost of insurance.</w:t>
      </w:r>
    </w:p>
    <w:p w:rsidR="003774EB" w:rsidRPr="003774EB" w:rsidRDefault="003774EB" w:rsidP="006F4C0E">
      <w:pPr>
        <w:spacing w:line="480" w:lineRule="auto"/>
        <w:jc w:val="both"/>
        <w:rPr>
          <w:rFonts w:ascii="Times New Roman" w:eastAsia="Times New Roman" w:hAnsi="Times New Roman" w:cs="Times New Roman"/>
        </w:rPr>
      </w:pPr>
      <w:r w:rsidRPr="003774EB">
        <w:rPr>
          <w:rFonts w:ascii="Times New Roman" w:eastAsia="Times New Roman" w:hAnsi="Times New Roman" w:cs="Times New Roman"/>
        </w:rPr>
        <w:t>Animation link:</w:t>
      </w:r>
    </w:p>
    <w:p w:rsidR="006F4C0E" w:rsidRPr="003774EB" w:rsidRDefault="00735044" w:rsidP="006F4C0E">
      <w:pPr>
        <w:spacing w:line="480" w:lineRule="auto"/>
        <w:jc w:val="both"/>
        <w:rPr>
          <w:rFonts w:ascii="Times New Roman" w:eastAsia="Times New Roman" w:hAnsi="Times New Roman" w:cs="Times New Roman"/>
          <w:b/>
          <w:color w:val="002060"/>
          <w:u w:val="single"/>
        </w:rPr>
      </w:pPr>
      <w:hyperlink r:id="rId25" w:history="1">
        <w:r w:rsidR="006F4C0E" w:rsidRPr="003774EB">
          <w:rPr>
            <w:rStyle w:val="Hyperlink"/>
            <w:rFonts w:ascii="Times New Roman" w:eastAsia="Times New Roman" w:hAnsi="Times New Roman" w:cs="Times New Roman"/>
            <w:b/>
          </w:rPr>
          <w:t>http://switzernet.com/people/aram-gab</w:t>
        </w:r>
        <w:r w:rsidR="006F4C0E" w:rsidRPr="003774EB">
          <w:rPr>
            <w:rStyle w:val="Hyperlink"/>
            <w:rFonts w:ascii="Times New Roman" w:eastAsia="Times New Roman" w:hAnsi="Times New Roman" w:cs="Times New Roman"/>
            <w:b/>
          </w:rPr>
          <w:t>r</w:t>
        </w:r>
        <w:r w:rsidR="006F4C0E" w:rsidRPr="003774EB">
          <w:rPr>
            <w:rStyle w:val="Hyperlink"/>
            <w:rFonts w:ascii="Times New Roman" w:eastAsia="Times New Roman" w:hAnsi="Times New Roman" w:cs="Times New Roman"/>
            <w:b/>
          </w:rPr>
          <w:t>ielyan/public/090817-hedging-cost-with-futures/</w:t>
        </w:r>
      </w:hyperlink>
    </w:p>
    <w:p w:rsidR="003774EB" w:rsidRDefault="003774EB" w:rsidP="006F4C0E">
      <w:pPr>
        <w:pStyle w:val="Heading1"/>
        <w:spacing w:line="480" w:lineRule="auto"/>
      </w:pPr>
      <w:bookmarkStart w:id="7" w:name="_Toc238794117"/>
      <w:r>
        <w:t>Neutral (right) price of Futures</w:t>
      </w:r>
      <w:bookmarkEnd w:id="7"/>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Let us have an operation price probability, a subject to normal Gaussian distribution (see </w:t>
      </w:r>
      <w:hyperlink r:id="rId26" w:history="1">
        <w:r w:rsidRPr="003774EB">
          <w:rPr>
            <w:rStyle w:val="Hyperlink"/>
            <w:rFonts w:ascii="Times New Roman" w:hAnsi="Times New Roman" w:cs="Times New Roman"/>
          </w:rPr>
          <w:t>normal distribution</w:t>
        </w:r>
      </w:hyperlink>
      <w:r w:rsidRPr="003774EB">
        <w:rPr>
          <w:rFonts w:ascii="Times New Roman" w:hAnsi="Times New Roman" w:cs="Times New Roman"/>
        </w:rPr>
        <w:t>):</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2840" w:dyaOrig="760">
          <v:shape id="_x0000_i1027" type="#_x0000_t75" style="width:141.75pt;height:38.25pt" o:ole="">
            <v:imagedata r:id="rId27" o:title=""/>
          </v:shape>
          <o:OLEObject Type="Embed" ProgID="Equation.3" ShapeID="_x0000_i1027" DrawAspect="Content" ObjectID="_1312536503" r:id="rId28"/>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The following chart shows such distribution, where the mean value is equal to $4’000 and the variance is equal to $1’000:</w:t>
      </w:r>
    </w:p>
    <w:p w:rsidR="003774EB" w:rsidRPr="003774EB" w:rsidRDefault="003774EB" w:rsidP="003774EB">
      <w:pPr>
        <w:spacing w:before="100" w:beforeAutospacing="1" w:after="100" w:afterAutospacing="1"/>
      </w:pPr>
      <w:r w:rsidRPr="003774EB">
        <w:rPr>
          <w:noProof/>
        </w:rPr>
        <w:drawing>
          <wp:inline distT="0" distB="0" distL="0" distR="0">
            <wp:extent cx="6019800" cy="2476500"/>
            <wp:effectExtent l="0" t="0" r="0" b="0"/>
            <wp:docPr id="17" name="Picture 17" descr="http://switzernet.com/people/aram-gabrielyan/public/090819-neutral-price-vs-Black-Scholes/index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tzernet.com/people/aram-gabrielyan/public/090819-neutral-price-vs-Black-Scholes/index_files/image004.png"/>
                    <pic:cNvPicPr>
                      <a:picLocks noChangeAspect="1" noChangeArrowheads="1"/>
                    </pic:cNvPicPr>
                  </pic:nvPicPr>
                  <pic:blipFill>
                    <a:blip r:embed="rId29" cstate="print"/>
                    <a:srcRect/>
                    <a:stretch>
                      <a:fillRect/>
                    </a:stretch>
                  </pic:blipFill>
                  <pic:spPr bwMode="auto">
                    <a:xfrm>
                      <a:off x="0" y="0"/>
                      <a:ext cx="6019800" cy="2476500"/>
                    </a:xfrm>
                    <a:prstGeom prst="rect">
                      <a:avLst/>
                    </a:prstGeom>
                    <a:noFill/>
                    <a:ln w="9525">
                      <a:noFill/>
                      <a:miter lim="800000"/>
                      <a:headEnd/>
                      <a:tailEnd/>
                    </a:ln>
                  </pic:spPr>
                </pic:pic>
              </a:graphicData>
            </a:graphic>
          </wp:inline>
        </w:drawing>
      </w:r>
    </w:p>
    <w:p w:rsidR="003774EB" w:rsidRPr="003774EB" w:rsidRDefault="003774EB" w:rsidP="003774EB">
      <w:pPr>
        <w:spacing w:before="100" w:beforeAutospacing="1" w:after="100" w:afterAutospacing="1" w:line="480" w:lineRule="auto"/>
        <w:jc w:val="both"/>
        <w:rPr>
          <w:rFonts w:ascii="Times New Roman" w:eastAsia="Times New Roman" w:hAnsi="Times New Roman" w:cs="Times New Roman"/>
        </w:rPr>
      </w:pPr>
      <w:r w:rsidRPr="003774EB">
        <w:rPr>
          <w:rFonts w:ascii="Times New Roman" w:eastAsia="Times New Roman" w:hAnsi="Times New Roman" w:cs="Times New Roman"/>
        </w:rPr>
        <w:lastRenderedPageBreak/>
        <w:t xml:space="preserve">We seek to compute the ‘right’ price of futures (issued for our operation </w:t>
      </w:r>
      <w:r w:rsidR="00E21BEB">
        <w:rPr>
          <w:rFonts w:ascii="Times New Roman" w:eastAsia="Times New Roman" w:hAnsi="Times New Roman" w:cs="Times New Roman"/>
        </w:rPr>
        <w:t>cost</w:t>
      </w:r>
      <w:r w:rsidRPr="003774EB">
        <w:rPr>
          <w:rFonts w:ascii="Times New Roman" w:eastAsia="Times New Roman" w:hAnsi="Times New Roman" w:cs="Times New Roman"/>
        </w:rPr>
        <w:t xml:space="preserve">) as a function of the strike price </w:t>
      </w:r>
      <w:r w:rsidRPr="003774EB">
        <w:rPr>
          <w:rFonts w:ascii="Times New Roman" w:eastAsia="Times New Roman" w:hAnsi="Times New Roman" w:cs="Times New Roman"/>
          <w:i/>
          <w:iCs/>
        </w:rPr>
        <w:t>a</w:t>
      </w:r>
      <w:r w:rsidRPr="003774EB">
        <w:rPr>
          <w:rFonts w:ascii="Times New Roman" w:eastAsia="Times New Roman" w:hAnsi="Times New Roman" w:cs="Times New Roman"/>
        </w:rPr>
        <w:t xml:space="preserve">. Such futures </w:t>
      </w:r>
      <w:r w:rsidR="00E21BEB">
        <w:rPr>
          <w:rFonts w:ascii="Times New Roman" w:eastAsia="Times New Roman" w:hAnsi="Times New Roman" w:cs="Times New Roman"/>
        </w:rPr>
        <w:t>pay-off</w:t>
      </w:r>
      <w:r w:rsidRPr="003774EB">
        <w:rPr>
          <w:rFonts w:ascii="Times New Roman" w:eastAsia="Times New Roman" w:hAnsi="Times New Roman" w:cs="Times New Roman"/>
        </w:rPr>
        <w:t xml:space="preserve"> each </w:t>
      </w:r>
      <w:r w:rsidR="00E21BEB">
        <w:rPr>
          <w:rFonts w:ascii="Times New Roman" w:eastAsia="Times New Roman" w:hAnsi="Times New Roman" w:cs="Times New Roman"/>
        </w:rPr>
        <w:t xml:space="preserve">additional </w:t>
      </w:r>
      <w:r w:rsidRPr="003774EB">
        <w:rPr>
          <w:rFonts w:ascii="Times New Roman" w:eastAsia="Times New Roman" w:hAnsi="Times New Roman" w:cs="Times New Roman"/>
        </w:rPr>
        <w:t xml:space="preserve">$1 of operation </w:t>
      </w:r>
      <w:r w:rsidR="00E21BEB">
        <w:rPr>
          <w:rFonts w:ascii="Times New Roman" w:eastAsia="Times New Roman" w:hAnsi="Times New Roman" w:cs="Times New Roman"/>
        </w:rPr>
        <w:t>cost</w:t>
      </w:r>
      <w:r w:rsidRPr="003774EB">
        <w:rPr>
          <w:rFonts w:ascii="Times New Roman" w:eastAsia="Times New Roman" w:hAnsi="Times New Roman" w:cs="Times New Roman"/>
        </w:rPr>
        <w:t xml:space="preserve"> exceeding the selected strike price </w:t>
      </w:r>
      <w:r w:rsidRPr="003774EB">
        <w:rPr>
          <w:rFonts w:ascii="Times New Roman" w:eastAsia="Times New Roman" w:hAnsi="Times New Roman" w:cs="Times New Roman"/>
          <w:i/>
          <w:iCs/>
        </w:rPr>
        <w:t>a</w:t>
      </w:r>
      <w:r w:rsidRPr="003774EB">
        <w:rPr>
          <w:rFonts w:ascii="Times New Roman" w:eastAsia="Times New Roman" w:hAnsi="Times New Roman" w:cs="Times New Roman"/>
        </w:rPr>
        <w:t>.</w:t>
      </w:r>
    </w:p>
    <w:p w:rsidR="003774EB" w:rsidRPr="003774EB" w:rsidRDefault="003774EB" w:rsidP="003774EB">
      <w:pPr>
        <w:spacing w:before="100" w:beforeAutospacing="1" w:after="100" w:afterAutospacing="1" w:line="480" w:lineRule="auto"/>
        <w:jc w:val="both"/>
        <w:rPr>
          <w:rFonts w:ascii="Times New Roman" w:eastAsia="Times New Roman" w:hAnsi="Times New Roman" w:cs="Times New Roman"/>
        </w:rPr>
      </w:pPr>
      <w:r w:rsidRPr="003774EB">
        <w:rPr>
          <w:rFonts w:ascii="Times New Roman" w:eastAsia="Times New Roman" w:hAnsi="Times New Roman" w:cs="Times New Roman"/>
        </w:rPr>
        <w:t> The statistical ‘margin-less’ cost of such futures must be equal to:</w:t>
      </w:r>
    </w:p>
    <w:p w:rsidR="003774EB" w:rsidRPr="003774EB" w:rsidRDefault="000C7013" w:rsidP="003774EB">
      <w:pPr>
        <w:spacing w:before="100" w:beforeAutospacing="1" w:after="100" w:afterAutospacing="1" w:line="480" w:lineRule="auto"/>
        <w:jc w:val="both"/>
        <w:rPr>
          <w:rFonts w:ascii="Times New Roman" w:eastAsia="Times New Roman" w:hAnsi="Times New Roman" w:cs="Times New Roman"/>
        </w:rPr>
      </w:pPr>
      <w:r w:rsidRPr="00E540C7">
        <w:object w:dxaOrig="2360" w:dyaOrig="760">
          <v:shape id="_x0000_i1028" type="#_x0000_t75" style="width:117.75pt;height:38.25pt" o:ole="">
            <v:imagedata r:id="rId30" o:title=""/>
          </v:shape>
          <o:OLEObject Type="Embed" ProgID="Equation.3" ShapeID="_x0000_i1028" DrawAspect="Content" ObjectID="_1312536504" r:id="rId31"/>
        </w:object>
      </w:r>
    </w:p>
    <w:p w:rsidR="003774EB" w:rsidRPr="003774EB" w:rsidRDefault="003774EB" w:rsidP="003774EB">
      <w:pPr>
        <w:spacing w:before="100" w:beforeAutospacing="1" w:after="100" w:afterAutospacing="1" w:line="480" w:lineRule="auto"/>
        <w:jc w:val="both"/>
        <w:rPr>
          <w:rFonts w:ascii="Times New Roman" w:eastAsia="Times New Roman" w:hAnsi="Times New Roman" w:cs="Times New Roman"/>
        </w:rPr>
      </w:pPr>
      <w:r w:rsidRPr="003774EB">
        <w:rPr>
          <w:rFonts w:ascii="Times New Roman" w:eastAsia="Times New Roman" w:hAnsi="Times New Roman" w:cs="Times New Roman"/>
        </w:rPr>
        <w:t> The cost computed in such a way contains neither a security nor a beneficiary margin of the issuer of futures.</w:t>
      </w:r>
    </w:p>
    <w:p w:rsidR="003774EB" w:rsidRPr="003774EB" w:rsidRDefault="003774EB" w:rsidP="003774EB">
      <w:pPr>
        <w:spacing w:before="100" w:beforeAutospacing="1" w:after="100" w:afterAutospacing="1" w:line="480" w:lineRule="auto"/>
        <w:jc w:val="both"/>
        <w:rPr>
          <w:rFonts w:ascii="Times New Roman" w:eastAsia="Times New Roman" w:hAnsi="Times New Roman" w:cs="Times New Roman"/>
        </w:rPr>
      </w:pPr>
      <w:r w:rsidRPr="003774EB">
        <w:rPr>
          <w:rFonts w:ascii="Times New Roman" w:eastAsia="Times New Roman" w:hAnsi="Times New Roman" w:cs="Times New Roman"/>
        </w:rPr>
        <w:t> Using the above formula the joined Excel file computes the cost of futures straight-forwardly by summing refund claims weighted by their probabilities. For each price exceeding the strike price, the formula takes the difference between the price and the strike-price, multiplies it by the probability of the price, and adds all of them</w:t>
      </w:r>
      <w:r w:rsidR="00807CB4">
        <w:rPr>
          <w:rFonts w:ascii="Times New Roman" w:eastAsia="Times New Roman" w:hAnsi="Times New Roman" w:cs="Times New Roman"/>
        </w:rPr>
        <w:t xml:space="preserve"> together</w:t>
      </w:r>
      <w:r w:rsidRPr="003774EB">
        <w:rPr>
          <w:rFonts w:ascii="Times New Roman" w:eastAsia="Times New Roman" w:hAnsi="Times New Roman" w:cs="Times New Roman"/>
        </w:rPr>
        <w:t xml:space="preserve">. The final sum is multiplied by the distance between the sample points on the </w:t>
      </w:r>
      <w:r w:rsidRPr="003774EB">
        <w:rPr>
          <w:rFonts w:ascii="Times New Roman" w:eastAsia="Times New Roman" w:hAnsi="Times New Roman" w:cs="Times New Roman"/>
          <w:i/>
          <w:iCs/>
        </w:rPr>
        <w:t>x</w:t>
      </w:r>
      <w:r w:rsidRPr="003774EB">
        <w:rPr>
          <w:rFonts w:ascii="Times New Roman" w:eastAsia="Times New Roman" w:hAnsi="Times New Roman" w:cs="Times New Roman"/>
        </w:rPr>
        <w:t xml:space="preserve"> axis.</w:t>
      </w:r>
    </w:p>
    <w:p w:rsidR="003774EB" w:rsidRDefault="003774EB" w:rsidP="003774EB">
      <w:pPr>
        <w:spacing w:before="100" w:beforeAutospacing="1" w:after="100" w:afterAutospacing="1"/>
      </w:pPr>
      <w:r>
        <w:rPr>
          <w:noProof/>
        </w:rPr>
        <w:drawing>
          <wp:inline distT="0" distB="0" distL="0" distR="0">
            <wp:extent cx="5991225" cy="2543175"/>
            <wp:effectExtent l="0" t="0" r="0" b="0"/>
            <wp:docPr id="21" name="Picture 21" descr="http://switzernet.com/people/aram-gabrielyan/public/090819-neutral-price-vs-Black-Scholes/index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tzernet.com/people/aram-gabrielyan/public/090819-neutral-price-vs-Black-Scholes/index_files/image008.png"/>
                    <pic:cNvPicPr>
                      <a:picLocks noChangeAspect="1" noChangeArrowheads="1"/>
                    </pic:cNvPicPr>
                  </pic:nvPicPr>
                  <pic:blipFill>
                    <a:blip r:embed="rId32" cstate="print"/>
                    <a:srcRect/>
                    <a:stretch>
                      <a:fillRect/>
                    </a:stretch>
                  </pic:blipFill>
                  <pic:spPr bwMode="auto">
                    <a:xfrm>
                      <a:off x="0" y="0"/>
                      <a:ext cx="5991225" cy="2543175"/>
                    </a:xfrm>
                    <a:prstGeom prst="rect">
                      <a:avLst/>
                    </a:prstGeom>
                    <a:noFill/>
                    <a:ln w="9525">
                      <a:noFill/>
                      <a:miter lim="800000"/>
                      <a:headEnd/>
                      <a:tailEnd/>
                    </a:ln>
                  </pic:spPr>
                </pic:pic>
              </a:graphicData>
            </a:graphic>
          </wp:inline>
        </w:drawing>
      </w:r>
      <w:r w:rsidRPr="003774EB">
        <w:t xml:space="preserve"> </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Our objective is to find the analytical formula of the price of futures (and if not analytical then one using well known functions, such as the error function).</w:t>
      </w:r>
    </w:p>
    <w:p w:rsidR="003774EB" w:rsidRDefault="000C7013" w:rsidP="003774EB">
      <w:pPr>
        <w:spacing w:before="100" w:beforeAutospacing="1" w:after="100" w:afterAutospacing="1" w:line="480" w:lineRule="auto"/>
        <w:jc w:val="both"/>
        <w:rPr>
          <w:rFonts w:ascii="Times New Roman" w:hAnsi="Times New Roman" w:cs="Times New Roman"/>
        </w:rPr>
      </w:pPr>
      <w:r w:rsidRPr="00E540C7">
        <w:object w:dxaOrig="2420" w:dyaOrig="760">
          <v:shape id="_x0000_i1029" type="#_x0000_t75" style="width:120.75pt;height:38.25pt" o:ole="">
            <v:imagedata r:id="rId33" o:title=""/>
          </v:shape>
          <o:OLEObject Type="Embed" ProgID="Equation.3" ShapeID="_x0000_i1029" DrawAspect="Content" ObjectID="_1312536505" r:id="rId34"/>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Due to the symmetric bell shape of the normal distribution:</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4200" w:dyaOrig="760">
          <v:shape id="_x0000_i1030" type="#_x0000_t75" style="width:210pt;height:38.25pt" o:ole="">
            <v:imagedata r:id="rId35" o:title=""/>
          </v:shape>
          <o:OLEObject Type="Embed" ProgID="Equation.3" ShapeID="_x0000_i1030" DrawAspect="Content" ObjectID="_1312536506" r:id="rId36"/>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Therefore:</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1A4383">
        <w:rPr>
          <w:position w:val="-146"/>
        </w:rPr>
        <w:object w:dxaOrig="3800" w:dyaOrig="3040">
          <v:shape id="_x0000_i1031" type="#_x0000_t75" style="width:189.75pt;height:152.25pt" o:ole="">
            <v:imagedata r:id="rId37" o:title=""/>
          </v:shape>
          <o:OLEObject Type="Embed" ProgID="Equation.3" ShapeID="_x0000_i1031" DrawAspect="Content" ObjectID="_1312536507" r:id="rId38"/>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 CDF is the cumulative distribution function [see </w:t>
      </w:r>
      <w:hyperlink r:id="rId39" w:history="1">
        <w:r w:rsidRPr="003774EB">
          <w:rPr>
            <w:rStyle w:val="Hyperlink"/>
            <w:rFonts w:ascii="Times New Roman" w:hAnsi="Times New Roman" w:cs="Times New Roman"/>
          </w:rPr>
          <w:t>normal distribution</w:t>
        </w:r>
      </w:hyperlink>
      <w:r w:rsidRPr="003774EB">
        <w:rPr>
          <w:rFonts w:ascii="Times New Roman" w:hAnsi="Times New Roman" w:cs="Times New Roman"/>
        </w:rPr>
        <w:t xml:space="preserve">]. It represents the probability that the price will fall below </w:t>
      </w:r>
      <w:r w:rsidRPr="003774EB">
        <w:rPr>
          <w:rFonts w:ascii="Times New Roman" w:hAnsi="Times New Roman" w:cs="Times New Roman"/>
          <w:i/>
          <w:iCs/>
        </w:rPr>
        <w:t>x</w:t>
      </w:r>
      <w:r w:rsidRPr="003774EB">
        <w:rPr>
          <w:rFonts w:ascii="Times New Roman" w:hAnsi="Times New Roman" w:cs="Times New Roman"/>
        </w:rPr>
        <w:t xml:space="preserve"> (its argument).</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1740" w:dyaOrig="740">
          <v:shape id="_x0000_i1032" type="#_x0000_t75" style="width:87pt;height:36.75pt" o:ole="">
            <v:imagedata r:id="rId40" o:title=""/>
          </v:shape>
          <o:OLEObject Type="Embed" ProgID="Equation.3" ShapeID="_x0000_i1032" DrawAspect="Content" ObjectID="_1312536508" r:id="rId41"/>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noProof/>
        </w:rPr>
        <w:lastRenderedPageBreak/>
        <w:drawing>
          <wp:inline distT="0" distB="0" distL="0" distR="0">
            <wp:extent cx="5429250" cy="3276600"/>
            <wp:effectExtent l="0" t="0" r="0" b="0"/>
            <wp:docPr id="27" name="Picture 27" descr="http://switzernet.com/people/aram-gabrielyan/public/090819-neutral-price-vs-Black-Scholes/index_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tzernet.com/people/aram-gabrielyan/public/090819-neutral-price-vs-Black-Scholes/index_files/image018.png"/>
                    <pic:cNvPicPr>
                      <a:picLocks noChangeAspect="1" noChangeArrowheads="1"/>
                    </pic:cNvPicPr>
                  </pic:nvPicPr>
                  <pic:blipFill>
                    <a:blip r:embed="rId42" cstate="print"/>
                    <a:srcRect/>
                    <a:stretch>
                      <a:fillRect/>
                    </a:stretch>
                  </pic:blipFill>
                  <pic:spPr bwMode="auto">
                    <a:xfrm>
                      <a:off x="0" y="0"/>
                      <a:ext cx="5429250" cy="3276600"/>
                    </a:xfrm>
                    <a:prstGeom prst="rect">
                      <a:avLst/>
                    </a:prstGeom>
                    <a:noFill/>
                    <a:ln w="9525">
                      <a:noFill/>
                      <a:miter lim="800000"/>
                      <a:headEnd/>
                      <a:tailEnd/>
                    </a:ln>
                  </pic:spPr>
                </pic:pic>
              </a:graphicData>
            </a:graphic>
          </wp:inline>
        </w:drawing>
      </w:r>
      <w:r w:rsidRPr="003774EB">
        <w:rPr>
          <w:rFonts w:ascii="Times New Roman" w:hAnsi="Times New Roman" w:cs="Times New Roman"/>
        </w:rPr>
        <w:t>[</w:t>
      </w:r>
      <w:proofErr w:type="spellStart"/>
      <w:r w:rsidR="00735044" w:rsidRPr="003774EB">
        <w:rPr>
          <w:rFonts w:ascii="Times New Roman" w:hAnsi="Times New Roman" w:cs="Times New Roman"/>
        </w:rPr>
        <w:fldChar w:fldCharType="begin"/>
      </w:r>
      <w:r w:rsidRPr="003774EB">
        <w:rPr>
          <w:rFonts w:ascii="Times New Roman" w:hAnsi="Times New Roman" w:cs="Times New Roman"/>
        </w:rPr>
        <w:instrText xml:space="preserve"> HYPERLINK "http://switzernet.com/people/aram-gabrielyan/public/090819-neutral-price-vs-Black-Scholes/a17.xls" </w:instrText>
      </w:r>
      <w:r w:rsidR="00735044" w:rsidRPr="003774EB">
        <w:rPr>
          <w:rFonts w:ascii="Times New Roman" w:hAnsi="Times New Roman" w:cs="Times New Roman"/>
        </w:rPr>
        <w:fldChar w:fldCharType="separate"/>
      </w:r>
      <w:r w:rsidRPr="003774EB">
        <w:rPr>
          <w:rStyle w:val="Hyperlink"/>
          <w:rFonts w:ascii="Times New Roman" w:hAnsi="Times New Roman" w:cs="Times New Roman"/>
        </w:rPr>
        <w:t>xls</w:t>
      </w:r>
      <w:proofErr w:type="spellEnd"/>
      <w:r w:rsidR="00735044" w:rsidRPr="003774EB">
        <w:rPr>
          <w:rFonts w:ascii="Times New Roman" w:hAnsi="Times New Roman" w:cs="Times New Roman"/>
        </w:rPr>
        <w:fldChar w:fldCharType="end"/>
      </w:r>
      <w:r w:rsidRPr="003774EB">
        <w:rPr>
          <w:rFonts w:ascii="Times New Roman" w:hAnsi="Times New Roman" w:cs="Times New Roman"/>
        </w:rPr>
        <w:t>]</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 Considering the product rule (see </w:t>
      </w:r>
      <w:hyperlink r:id="rId43" w:history="1">
        <w:r w:rsidRPr="003774EB">
          <w:rPr>
            <w:rStyle w:val="Hyperlink"/>
            <w:rFonts w:ascii="Times New Roman" w:hAnsi="Times New Roman" w:cs="Times New Roman"/>
          </w:rPr>
          <w:t>deriv</w:t>
        </w:r>
        <w:r w:rsidRPr="003774EB">
          <w:rPr>
            <w:rStyle w:val="Hyperlink"/>
            <w:rFonts w:ascii="Times New Roman" w:hAnsi="Times New Roman" w:cs="Times New Roman"/>
          </w:rPr>
          <w:t>a</w:t>
        </w:r>
        <w:r w:rsidRPr="003774EB">
          <w:rPr>
            <w:rStyle w:val="Hyperlink"/>
            <w:rFonts w:ascii="Times New Roman" w:hAnsi="Times New Roman" w:cs="Times New Roman"/>
          </w:rPr>
          <w:t>tive</w:t>
        </w:r>
      </w:hyperlink>
      <w:r w:rsidRPr="003774EB">
        <w:rPr>
          <w:rFonts w:ascii="Times New Roman" w:hAnsi="Times New Roman" w:cs="Times New Roman"/>
        </w:rPr>
        <w:t>):</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2160" w:dyaOrig="320">
          <v:shape id="_x0000_i1033" type="#_x0000_t75" style="width:108pt;height:15.75pt" o:ole="">
            <v:imagedata r:id="rId44" o:title=""/>
          </v:shape>
          <o:OLEObject Type="Embed" ProgID="Equation.3" ShapeID="_x0000_i1033" DrawAspect="Content" ObjectID="_1312536509" r:id="rId45"/>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We can write that:</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3560" w:dyaOrig="740">
          <v:shape id="_x0000_i1034" type="#_x0000_t75" style="width:177.75pt;height:36.75pt" o:ole="">
            <v:imagedata r:id="rId46" o:title=""/>
          </v:shape>
          <o:OLEObject Type="Embed" ProgID="Equation.3" ShapeID="_x0000_i1034" DrawAspect="Content" ObjectID="_1312536510" r:id="rId47"/>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Therefore:</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3700" w:dyaOrig="1520">
          <v:shape id="_x0000_i1035" type="#_x0000_t75" style="width:185.25pt;height:75.75pt" o:ole="">
            <v:imagedata r:id="rId48" o:title=""/>
          </v:shape>
          <o:OLEObject Type="Embed" ProgID="Equation.3" ShapeID="_x0000_i1035" DrawAspect="Content" ObjectID="_1312536511" r:id="rId49"/>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 CDF can be expressed via error function as follows (see </w:t>
      </w:r>
      <w:hyperlink r:id="rId50" w:history="1">
        <w:r w:rsidRPr="003774EB">
          <w:rPr>
            <w:rStyle w:val="Hyperlink"/>
            <w:rFonts w:ascii="Times New Roman" w:hAnsi="Times New Roman" w:cs="Times New Roman"/>
          </w:rPr>
          <w:t>normal distribution</w:t>
        </w:r>
      </w:hyperlink>
      <w:r w:rsidRPr="003774EB">
        <w:rPr>
          <w:rFonts w:ascii="Times New Roman" w:hAnsi="Times New Roman" w:cs="Times New Roman"/>
        </w:rPr>
        <w:t>):</w:t>
      </w:r>
    </w:p>
    <w:p w:rsidR="003774EB" w:rsidRDefault="000C7013" w:rsidP="003774EB">
      <w:pPr>
        <w:spacing w:before="100" w:beforeAutospacing="1" w:after="100" w:afterAutospacing="1" w:line="480" w:lineRule="auto"/>
        <w:jc w:val="both"/>
      </w:pPr>
      <w:r w:rsidRPr="00E540C7">
        <w:object w:dxaOrig="2780" w:dyaOrig="760">
          <v:shape id="_x0000_i1036" type="#_x0000_t75" style="width:138.75pt;height:38.25pt" o:ole="">
            <v:imagedata r:id="rId51" o:title=""/>
          </v:shape>
          <o:OLEObject Type="Embed" ProgID="Equation.3" ShapeID="_x0000_i1036" DrawAspect="Content" ObjectID="_1312536512" r:id="rId52"/>
        </w:object>
      </w:r>
    </w:p>
    <w:p w:rsidR="00807CB4" w:rsidRDefault="000C7013" w:rsidP="003774EB">
      <w:pPr>
        <w:spacing w:before="100" w:beforeAutospacing="1" w:after="100" w:afterAutospacing="1" w:line="480" w:lineRule="auto"/>
        <w:jc w:val="both"/>
        <w:rPr>
          <w:rFonts w:ascii="Times New Roman" w:hAnsi="Times New Roman" w:cs="Times New Roman"/>
        </w:rPr>
      </w:pPr>
      <w:r w:rsidRPr="000C7013">
        <w:rPr>
          <w:rFonts w:ascii="Times New Roman" w:hAnsi="Times New Roman" w:cs="Times New Roman"/>
        </w:rPr>
        <w:t xml:space="preserve">ERF </w:t>
      </w:r>
      <w:r w:rsidR="00807CB4">
        <w:rPr>
          <w:rFonts w:ascii="Times New Roman" w:hAnsi="Times New Roman" w:cs="Times New Roman"/>
        </w:rPr>
        <w:t xml:space="preserve">Excel </w:t>
      </w:r>
      <w:r w:rsidRPr="000C7013">
        <w:rPr>
          <w:rFonts w:ascii="Times New Roman" w:hAnsi="Times New Roman" w:cs="Times New Roman"/>
        </w:rPr>
        <w:t xml:space="preserve">function is implemented so no approximations or simulations </w:t>
      </w:r>
      <w:r w:rsidR="00807CB4">
        <w:rPr>
          <w:rFonts w:ascii="Times New Roman" w:hAnsi="Times New Roman" w:cs="Times New Roman"/>
        </w:rPr>
        <w:t xml:space="preserve">is </w:t>
      </w:r>
      <w:r w:rsidRPr="000C7013">
        <w:rPr>
          <w:rFonts w:ascii="Times New Roman" w:hAnsi="Times New Roman" w:cs="Times New Roman"/>
        </w:rPr>
        <w:t xml:space="preserve"> needed. </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It is known that (see </w:t>
      </w:r>
      <w:hyperlink r:id="rId53" w:history="1">
        <w:r w:rsidRPr="003774EB">
          <w:rPr>
            <w:rStyle w:val="Hyperlink"/>
            <w:rFonts w:ascii="Times New Roman" w:hAnsi="Times New Roman" w:cs="Times New Roman"/>
          </w:rPr>
          <w:t>list of int</w:t>
        </w:r>
        <w:r w:rsidRPr="003774EB">
          <w:rPr>
            <w:rStyle w:val="Hyperlink"/>
            <w:rFonts w:ascii="Times New Roman" w:hAnsi="Times New Roman" w:cs="Times New Roman"/>
          </w:rPr>
          <w:t>e</w:t>
        </w:r>
        <w:r w:rsidRPr="003774EB">
          <w:rPr>
            <w:rStyle w:val="Hyperlink"/>
            <w:rFonts w:ascii="Times New Roman" w:hAnsi="Times New Roman" w:cs="Times New Roman"/>
          </w:rPr>
          <w:t>grals</w:t>
        </w:r>
      </w:hyperlink>
      <w:r w:rsidRPr="003774EB">
        <w:rPr>
          <w:rFonts w:ascii="Times New Roman" w:hAnsi="Times New Roman" w:cs="Times New Roman"/>
        </w:rPr>
        <w:t>):</w:t>
      </w:r>
      <w:r w:rsidRPr="003774EB">
        <w:rPr>
          <w:rFonts w:ascii="Times New Roman" w:hAnsi="Times New Roman" w:cs="Times New Roman"/>
          <w:color w:val="000000"/>
          <w:shd w:val="clear" w:color="auto" w:fill="000000"/>
        </w:rPr>
        <w:t xml:space="preserve"> </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2780" w:dyaOrig="720">
          <v:shape id="_x0000_i1037" type="#_x0000_t75" style="width:138.75pt;height:36pt" o:ole="">
            <v:imagedata r:id="rId54" o:title=""/>
          </v:shape>
          <o:OLEObject Type="Embed" ProgID="Equation.3" ShapeID="_x0000_i1037" DrawAspect="Content" ObjectID="_1312536513" r:id="rId55"/>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 Taking into account the chain rule (see </w:t>
      </w:r>
      <w:hyperlink r:id="rId56" w:history="1">
        <w:r w:rsidRPr="003774EB">
          <w:rPr>
            <w:rStyle w:val="Hyperlink"/>
            <w:rFonts w:ascii="Times New Roman" w:hAnsi="Times New Roman" w:cs="Times New Roman"/>
          </w:rPr>
          <w:t>derivative</w:t>
        </w:r>
      </w:hyperlink>
      <w:r w:rsidRPr="003774EB">
        <w:rPr>
          <w:rFonts w:ascii="Times New Roman" w:hAnsi="Times New Roman" w:cs="Times New Roman"/>
        </w:rPr>
        <w:t>):</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E540C7">
        <w:object w:dxaOrig="2240" w:dyaOrig="680">
          <v:shape id="_x0000_i1038" type="#_x0000_t75" style="width:111.75pt;height:33.75pt" o:ole="">
            <v:imagedata r:id="rId57" o:title=""/>
          </v:shape>
          <o:OLEObject Type="Embed" ProgID="Equation.3" ShapeID="_x0000_i1038" DrawAspect="Content" ObjectID="_1312536514" r:id="rId58"/>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The CDF integral is computed as follows:</w:t>
      </w:r>
    </w:p>
    <w:p w:rsidR="003774EB" w:rsidRPr="003774EB" w:rsidRDefault="00807CB4" w:rsidP="003774EB">
      <w:pPr>
        <w:spacing w:before="100" w:beforeAutospacing="1" w:after="100" w:afterAutospacing="1" w:line="480" w:lineRule="auto"/>
        <w:jc w:val="both"/>
        <w:rPr>
          <w:rFonts w:ascii="Times New Roman" w:hAnsi="Times New Roman" w:cs="Times New Roman"/>
        </w:rPr>
      </w:pPr>
      <w:r w:rsidRPr="00807CB4">
        <w:rPr>
          <w:position w:val="-80"/>
        </w:rPr>
        <w:object w:dxaOrig="7320" w:dyaOrig="1719">
          <v:shape id="_x0000_i1050" type="#_x0000_t75" style="width:366pt;height:86.25pt" o:ole="">
            <v:imagedata r:id="rId59" o:title=""/>
          </v:shape>
          <o:OLEObject Type="Embed" ProgID="Equation.3" ShapeID="_x0000_i1050" DrawAspect="Content" ObjectID="_1312536515" r:id="rId60"/>
        </w:object>
      </w:r>
    </w:p>
    <w:p w:rsidR="003774EB" w:rsidRPr="003774EB" w:rsidRDefault="003774EB" w:rsidP="003774EB">
      <w:pPr>
        <w:spacing w:before="100" w:beforeAutospacing="1" w:after="100" w:afterAutospacing="1" w:line="480" w:lineRule="auto"/>
        <w:jc w:val="both"/>
        <w:rPr>
          <w:rFonts w:ascii="Times New Roman" w:eastAsia="Times New Roman" w:hAnsi="Times New Roman" w:cs="Times New Roman"/>
        </w:rPr>
      </w:pPr>
      <w:r w:rsidRPr="003774EB">
        <w:rPr>
          <w:rFonts w:ascii="Times New Roman" w:eastAsia="Times New Roman" w:hAnsi="Times New Roman" w:cs="Times New Roman"/>
        </w:rPr>
        <w:t>The ‘margin-less’ price of futures can be therefore expressed as follows:</w:t>
      </w:r>
    </w:p>
    <w:p w:rsidR="003774EB" w:rsidRPr="003774EB" w:rsidRDefault="000C7013" w:rsidP="003774EB">
      <w:pPr>
        <w:spacing w:before="100" w:beforeAutospacing="1" w:after="100" w:afterAutospacing="1" w:line="480" w:lineRule="auto"/>
        <w:jc w:val="both"/>
        <w:rPr>
          <w:rFonts w:ascii="Times New Roman" w:eastAsia="Times New Roman" w:hAnsi="Times New Roman" w:cs="Times New Roman"/>
        </w:rPr>
      </w:pPr>
      <w:r w:rsidRPr="00E540C7">
        <w:object w:dxaOrig="6740" w:dyaOrig="880">
          <v:shape id="_x0000_i1039" type="#_x0000_t75" style="width:336.75pt;height:44.25pt" o:ole="">
            <v:imagedata r:id="rId61" o:title=""/>
          </v:shape>
          <o:OLEObject Type="Embed" ProgID="Equation.3" ShapeID="_x0000_i1039" DrawAspect="Content" ObjectID="_1312536516" r:id="rId62"/>
        </w:object>
      </w:r>
    </w:p>
    <w:p w:rsid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The following </w:t>
      </w:r>
      <w:r>
        <w:rPr>
          <w:rFonts w:ascii="Times New Roman" w:hAnsi="Times New Roman" w:cs="Times New Roman"/>
        </w:rPr>
        <w:t>animation</w:t>
      </w:r>
      <w:r w:rsidRPr="003774EB">
        <w:rPr>
          <w:rFonts w:ascii="Times New Roman" w:hAnsi="Times New Roman" w:cs="Times New Roman"/>
        </w:rPr>
        <w:t xml:space="preserve"> shows the price of futures as a function of the strike price where the variance, i.e. the volatility, changes from $100 to $6500 over the time. The mean value is always the same and is equal to $4000:</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lastRenderedPageBreak/>
        <w:t>Animation link:</w:t>
      </w:r>
    </w:p>
    <w:p w:rsidR="003774EB" w:rsidRPr="003774EB" w:rsidRDefault="00735044" w:rsidP="003774EB">
      <w:pPr>
        <w:spacing w:before="100" w:beforeAutospacing="1" w:after="100" w:afterAutospacing="1" w:line="480" w:lineRule="auto"/>
        <w:jc w:val="both"/>
        <w:rPr>
          <w:rFonts w:ascii="Times New Roman" w:hAnsi="Times New Roman" w:cs="Times New Roman"/>
          <w:b/>
          <w:color w:val="002060"/>
          <w:u w:val="single"/>
        </w:rPr>
      </w:pPr>
      <w:hyperlink r:id="rId63" w:history="1">
        <w:r w:rsidR="003774EB" w:rsidRPr="003774EB">
          <w:rPr>
            <w:rStyle w:val="Hyperlink"/>
            <w:rFonts w:ascii="Times New Roman" w:hAnsi="Times New Roman" w:cs="Times New Roman"/>
            <w:b/>
          </w:rPr>
          <w:t>http://switzernet.com/people/aram-gabrielyan/public</w:t>
        </w:r>
        <w:r w:rsidR="003774EB" w:rsidRPr="003774EB">
          <w:rPr>
            <w:rStyle w:val="Hyperlink"/>
            <w:rFonts w:ascii="Times New Roman" w:hAnsi="Times New Roman" w:cs="Times New Roman"/>
            <w:b/>
          </w:rPr>
          <w:t>/</w:t>
        </w:r>
        <w:r w:rsidR="003774EB" w:rsidRPr="003774EB">
          <w:rPr>
            <w:rStyle w:val="Hyperlink"/>
            <w:rFonts w:ascii="Times New Roman" w:hAnsi="Times New Roman" w:cs="Times New Roman"/>
            <w:b/>
          </w:rPr>
          <w:t>090819-neutral-price-vs-Black-Scholes/</w:t>
        </w:r>
      </w:hyperlink>
    </w:p>
    <w:p w:rsidR="003774EB" w:rsidRPr="001A4DAF" w:rsidRDefault="003774EB" w:rsidP="003774EB">
      <w:pPr>
        <w:pStyle w:val="Heading1"/>
        <w:spacing w:line="480" w:lineRule="auto"/>
        <w:rPr>
          <w:rFonts w:ascii="Times New Roman" w:hAnsi="Times New Roman" w:cs="Times New Roman"/>
        </w:rPr>
      </w:pPr>
      <w:bookmarkStart w:id="8" w:name="_Toc238794118"/>
      <w:r w:rsidRPr="001A4DAF">
        <w:rPr>
          <w:rFonts w:ascii="Times New Roman" w:hAnsi="Times New Roman" w:cs="Times New Roman"/>
        </w:rPr>
        <w:t xml:space="preserve">Probability density function of insured </w:t>
      </w:r>
      <w:r w:rsidR="00DF434F">
        <w:rPr>
          <w:rFonts w:ascii="Times New Roman" w:hAnsi="Times New Roman" w:cs="Times New Roman"/>
        </w:rPr>
        <w:t>costs</w:t>
      </w:r>
      <w:r w:rsidRPr="001A4DAF">
        <w:rPr>
          <w:rFonts w:ascii="Times New Roman" w:hAnsi="Times New Roman" w:cs="Times New Roman"/>
        </w:rPr>
        <w:t xml:space="preserve"> and futures with right prices</w:t>
      </w:r>
      <w:bookmarkEnd w:id="8"/>
    </w:p>
    <w:p w:rsidR="003774EB" w:rsidRDefault="003774EB" w:rsidP="001A4DAF">
      <w:pPr>
        <w:spacing w:line="480" w:lineRule="auto"/>
        <w:jc w:val="both"/>
        <w:rPr>
          <w:rFonts w:ascii="Times New Roman" w:hAnsi="Times New Roman" w:cs="Times New Roman"/>
        </w:rPr>
      </w:pPr>
      <w:r w:rsidRPr="003774EB">
        <w:rPr>
          <w:rFonts w:ascii="Times New Roman" w:hAnsi="Times New Roman" w:cs="Times New Roman"/>
        </w:rPr>
        <w:t xml:space="preserve">In </w:t>
      </w:r>
      <w:r w:rsidRPr="001A4DAF">
        <w:rPr>
          <w:rFonts w:ascii="Times New Roman" w:hAnsi="Times New Roman" w:cs="Times New Roman"/>
          <w:b/>
          <w:color w:val="365F91" w:themeColor="accent1" w:themeShade="BF"/>
          <w:sz w:val="28"/>
          <w:szCs w:val="28"/>
        </w:rPr>
        <w:t>Price probability density transformation</w:t>
      </w:r>
      <w:r w:rsidRPr="001A4DAF">
        <w:rPr>
          <w:rFonts w:ascii="Times New Roman" w:hAnsi="Times New Roman" w:cs="Times New Roman"/>
          <w:color w:val="365F91" w:themeColor="accent1" w:themeShade="BF"/>
        </w:rPr>
        <w:t xml:space="preserve"> </w:t>
      </w:r>
      <w:r w:rsidRPr="00315E7B">
        <w:rPr>
          <w:rFonts w:ascii="Times New Roman" w:eastAsia="Times New Roman" w:hAnsi="Times New Roman" w:cs="Times New Roman"/>
          <w:sz w:val="24"/>
          <w:szCs w:val="24"/>
        </w:rPr>
        <w:t>[</w:t>
      </w:r>
      <w:hyperlink r:id="rId64" w:history="1">
        <w:r w:rsidRPr="00315E7B">
          <w:rPr>
            <w:rFonts w:ascii="Times New Roman" w:eastAsia="Times New Roman" w:hAnsi="Times New Roman" w:cs="Times New Roman"/>
            <w:color w:val="0000FF"/>
            <w:sz w:val="24"/>
            <w:szCs w:val="24"/>
            <w:u w:val="single"/>
          </w:rPr>
          <w:t>09</w:t>
        </w:r>
        <w:r w:rsidRPr="00315E7B">
          <w:rPr>
            <w:rFonts w:ascii="Times New Roman" w:eastAsia="Times New Roman" w:hAnsi="Times New Roman" w:cs="Times New Roman"/>
            <w:color w:val="0000FF"/>
            <w:sz w:val="24"/>
            <w:szCs w:val="24"/>
            <w:u w:val="single"/>
          </w:rPr>
          <w:t>0</w:t>
        </w:r>
        <w:r w:rsidRPr="00315E7B">
          <w:rPr>
            <w:rFonts w:ascii="Times New Roman" w:eastAsia="Times New Roman" w:hAnsi="Times New Roman" w:cs="Times New Roman"/>
            <w:color w:val="0000FF"/>
            <w:sz w:val="24"/>
            <w:szCs w:val="24"/>
            <w:u w:val="single"/>
          </w:rPr>
          <w:t>817</w:t>
        </w:r>
      </w:hyperlink>
      <w:r w:rsidRPr="00315E7B">
        <w:rPr>
          <w:rFonts w:ascii="Times New Roman" w:eastAsia="Times New Roman" w:hAnsi="Times New Roman" w:cs="Times New Roman"/>
          <w:sz w:val="24"/>
          <w:szCs w:val="24"/>
        </w:rPr>
        <w:t xml:space="preserve"> </w:t>
      </w:r>
      <w:hyperlink r:id="rId65" w:history="1">
        <w:r w:rsidRPr="00315E7B">
          <w:rPr>
            <w:rFonts w:ascii="Times New Roman" w:eastAsia="Times New Roman" w:hAnsi="Times New Roman" w:cs="Times New Roman"/>
            <w:color w:val="0000FF"/>
            <w:sz w:val="24"/>
            <w:szCs w:val="24"/>
            <w:u w:val="single"/>
          </w:rPr>
          <w:t>ii</w:t>
        </w:r>
      </w:hyperlink>
      <w:r w:rsidRPr="00315E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774EB">
        <w:rPr>
          <w:rFonts w:ascii="Times New Roman" w:hAnsi="Times New Roman" w:cs="Times New Roman"/>
        </w:rPr>
        <w:t xml:space="preserve">we developed the probability density function of operation </w:t>
      </w:r>
      <w:r w:rsidR="001A4DAF">
        <w:rPr>
          <w:rFonts w:ascii="Times New Roman" w:hAnsi="Times New Roman" w:cs="Times New Roman"/>
        </w:rPr>
        <w:t xml:space="preserve">costs </w:t>
      </w:r>
      <w:r w:rsidRPr="003774EB">
        <w:rPr>
          <w:rFonts w:ascii="Times New Roman" w:hAnsi="Times New Roman" w:cs="Times New Roman"/>
        </w:rPr>
        <w:t>i</w:t>
      </w:r>
      <w:r w:rsidR="001A4DAF">
        <w:rPr>
          <w:rFonts w:ascii="Times New Roman" w:hAnsi="Times New Roman" w:cs="Times New Roman"/>
        </w:rPr>
        <w:t>nsured by futures</w:t>
      </w:r>
      <w:r w:rsidRPr="003774EB">
        <w:rPr>
          <w:rFonts w:ascii="Times New Roman" w:hAnsi="Times New Roman" w:cs="Times New Roman"/>
        </w:rPr>
        <w:t>. This density is also a func</w:t>
      </w:r>
      <w:r w:rsidR="001A4DAF">
        <w:rPr>
          <w:rFonts w:ascii="Times New Roman" w:hAnsi="Times New Roman" w:cs="Times New Roman"/>
        </w:rPr>
        <w:t xml:space="preserve">tion of selected strike price </w:t>
      </w:r>
      <w:r w:rsidRPr="003774EB">
        <w:rPr>
          <w:rFonts w:ascii="Times New Roman" w:hAnsi="Times New Roman" w:cs="Times New Roman"/>
        </w:rPr>
        <w:t xml:space="preserve">and of insurance ratio k (representing the </w:t>
      </w:r>
      <w:r w:rsidR="001A4DAF">
        <w:rPr>
          <w:rFonts w:ascii="Times New Roman" w:hAnsi="Times New Roman" w:cs="Times New Roman"/>
        </w:rPr>
        <w:t>pay-off</w:t>
      </w:r>
      <w:r w:rsidRPr="003774EB">
        <w:rPr>
          <w:rFonts w:ascii="Times New Roman" w:hAnsi="Times New Roman" w:cs="Times New Roman"/>
        </w:rPr>
        <w:t xml:space="preserve"> ratio of </w:t>
      </w:r>
      <w:r w:rsidR="001A4DAF">
        <w:rPr>
          <w:rFonts w:ascii="Times New Roman" w:hAnsi="Times New Roman" w:cs="Times New Roman"/>
        </w:rPr>
        <w:t>cost</w:t>
      </w:r>
      <w:r w:rsidRPr="003774EB">
        <w:rPr>
          <w:rFonts w:ascii="Times New Roman" w:hAnsi="Times New Roman" w:cs="Times New Roman"/>
        </w:rPr>
        <w:t xml:space="preserve"> units exceeding the strike price a, or otherwise the amount of purchased futures). In the document we assumed the cost of futures c as an input parameter. No formula was provided for computing the cost of futures.</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In </w:t>
      </w:r>
      <w:r w:rsidRPr="001A4DAF">
        <w:rPr>
          <w:rFonts w:ascii="Times New Roman" w:hAnsi="Times New Roman" w:cs="Times New Roman"/>
          <w:b/>
          <w:color w:val="365F91" w:themeColor="accent1" w:themeShade="BF"/>
          <w:sz w:val="28"/>
          <w:szCs w:val="28"/>
        </w:rPr>
        <w:t>Neutral (right) price of Futures</w:t>
      </w:r>
      <w:r w:rsidRPr="003774EB">
        <w:rPr>
          <w:rFonts w:ascii="Times New Roman" w:hAnsi="Times New Roman" w:cs="Times New Roman"/>
        </w:rPr>
        <w:t xml:space="preserve"> [</w:t>
      </w:r>
      <w:hyperlink r:id="rId66" w:history="1">
        <w:r w:rsidRPr="003774EB">
          <w:rPr>
            <w:rStyle w:val="Hyperlink"/>
            <w:rFonts w:ascii="Times New Roman" w:hAnsi="Times New Roman" w:cs="Times New Roman"/>
          </w:rPr>
          <w:t>090</w:t>
        </w:r>
        <w:r w:rsidRPr="003774EB">
          <w:rPr>
            <w:rStyle w:val="Hyperlink"/>
            <w:rFonts w:ascii="Times New Roman" w:hAnsi="Times New Roman" w:cs="Times New Roman"/>
          </w:rPr>
          <w:t>8</w:t>
        </w:r>
        <w:r w:rsidRPr="003774EB">
          <w:rPr>
            <w:rStyle w:val="Hyperlink"/>
            <w:rFonts w:ascii="Times New Roman" w:hAnsi="Times New Roman" w:cs="Times New Roman"/>
          </w:rPr>
          <w:t>19</w:t>
        </w:r>
      </w:hyperlink>
      <w:r w:rsidRPr="003774EB">
        <w:rPr>
          <w:rFonts w:ascii="Times New Roman" w:hAnsi="Times New Roman" w:cs="Times New Roman"/>
        </w:rPr>
        <w:t xml:space="preserve"> </w:t>
      </w:r>
      <w:hyperlink r:id="rId67" w:history="1">
        <w:r w:rsidRPr="003774EB">
          <w:rPr>
            <w:rStyle w:val="Hyperlink"/>
            <w:rFonts w:ascii="Times New Roman" w:hAnsi="Times New Roman" w:cs="Times New Roman"/>
          </w:rPr>
          <w:t>ii</w:t>
        </w:r>
      </w:hyperlink>
      <w:r w:rsidRPr="003774EB">
        <w:rPr>
          <w:rFonts w:ascii="Times New Roman" w:hAnsi="Times New Roman" w:cs="Times New Roman"/>
        </w:rPr>
        <w:t xml:space="preserve">] we developed a formula for computing the ‘right’ cost of futures for a given strike price </w:t>
      </w:r>
      <w:r w:rsidRPr="003774EB">
        <w:rPr>
          <w:rFonts w:ascii="Times New Roman" w:hAnsi="Times New Roman" w:cs="Times New Roman"/>
          <w:i/>
          <w:iCs/>
        </w:rPr>
        <w:t>a</w:t>
      </w:r>
      <w:r w:rsidRPr="003774EB">
        <w:rPr>
          <w:rFonts w:ascii="Times New Roman" w:hAnsi="Times New Roman" w:cs="Times New Roman"/>
        </w:rPr>
        <w:t xml:space="preserve">. Under term ‘right’ or ‘neutral’ we understand the price, such futures would cost to an insurance company taking into account the volatility of </w:t>
      </w:r>
      <w:r>
        <w:rPr>
          <w:rFonts w:ascii="Times New Roman" w:hAnsi="Times New Roman" w:cs="Times New Roman"/>
        </w:rPr>
        <w:t>the</w:t>
      </w:r>
      <w:r w:rsidRPr="003774EB">
        <w:rPr>
          <w:rFonts w:ascii="Times New Roman" w:hAnsi="Times New Roman" w:cs="Times New Roman"/>
        </w:rPr>
        <w:t xml:space="preserve"> cost. This shall be an integral of excess of operation prices exceeding the strike price </w:t>
      </w:r>
      <w:r w:rsidRPr="003774EB">
        <w:rPr>
          <w:rFonts w:ascii="Times New Roman" w:hAnsi="Times New Roman" w:cs="Times New Roman"/>
          <w:i/>
          <w:iCs/>
        </w:rPr>
        <w:t>a</w:t>
      </w:r>
      <w:r w:rsidRPr="003774EB">
        <w:rPr>
          <w:rFonts w:ascii="Times New Roman" w:hAnsi="Times New Roman" w:cs="Times New Roman"/>
        </w:rPr>
        <w:t xml:space="preserve"> weighted by the normal distribution of the operation price (see </w:t>
      </w:r>
      <w:hyperlink r:id="rId68" w:history="1">
        <w:r w:rsidRPr="003774EB">
          <w:rPr>
            <w:rStyle w:val="Hyperlink"/>
            <w:rFonts w:ascii="Times New Roman" w:hAnsi="Times New Roman" w:cs="Times New Roman"/>
          </w:rPr>
          <w:t>normal distribution</w:t>
        </w:r>
      </w:hyperlink>
      <w:r w:rsidRPr="003774EB">
        <w:rPr>
          <w:rFonts w:ascii="Times New Roman" w:hAnsi="Times New Roman" w:cs="Times New Roman"/>
        </w:rPr>
        <w:t xml:space="preserve">). </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w:t>
      </w:r>
      <w:r w:rsidR="000C7013" w:rsidRPr="00AF276F">
        <w:object w:dxaOrig="4940" w:dyaOrig="800">
          <v:shape id="_x0000_i1040" type="#_x0000_t75" style="width:246.75pt;height:39.75pt" o:ole="">
            <v:imagedata r:id="rId69" o:title=""/>
          </v:shape>
          <o:OLEObject Type="Embed" ProgID="Equation.3" ShapeID="_x0000_i1040" DrawAspect="Content" ObjectID="_1312536517" r:id="rId70"/>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The formula of futures price that we developed in [</w:t>
      </w:r>
      <w:hyperlink r:id="rId71" w:history="1">
        <w:r w:rsidRPr="003774EB">
          <w:rPr>
            <w:rStyle w:val="Hyperlink"/>
            <w:rFonts w:ascii="Times New Roman" w:hAnsi="Times New Roman" w:cs="Times New Roman"/>
          </w:rPr>
          <w:t>0908</w:t>
        </w:r>
        <w:r w:rsidRPr="003774EB">
          <w:rPr>
            <w:rStyle w:val="Hyperlink"/>
            <w:rFonts w:ascii="Times New Roman" w:hAnsi="Times New Roman" w:cs="Times New Roman"/>
          </w:rPr>
          <w:t>1</w:t>
        </w:r>
        <w:r w:rsidRPr="003774EB">
          <w:rPr>
            <w:rStyle w:val="Hyperlink"/>
            <w:rFonts w:ascii="Times New Roman" w:hAnsi="Times New Roman" w:cs="Times New Roman"/>
          </w:rPr>
          <w:t>9</w:t>
        </w:r>
      </w:hyperlink>
      <w:r w:rsidRPr="003774EB">
        <w:rPr>
          <w:rFonts w:ascii="Times New Roman" w:hAnsi="Times New Roman" w:cs="Times New Roman"/>
        </w:rPr>
        <w:t xml:space="preserve"> </w:t>
      </w:r>
      <w:hyperlink r:id="rId72" w:history="1">
        <w:r w:rsidRPr="003774EB">
          <w:rPr>
            <w:rStyle w:val="Hyperlink"/>
            <w:rFonts w:ascii="Times New Roman" w:hAnsi="Times New Roman" w:cs="Times New Roman"/>
          </w:rPr>
          <w:t>ii</w:t>
        </w:r>
      </w:hyperlink>
      <w:r w:rsidRPr="003774EB">
        <w:rPr>
          <w:rFonts w:ascii="Times New Roman" w:hAnsi="Times New Roman" w:cs="Times New Roman"/>
        </w:rPr>
        <w:t xml:space="preserve">], is fully analytical, with the exception of error function ERF implemented in Excel (see </w:t>
      </w:r>
      <w:hyperlink r:id="rId73" w:history="1">
        <w:r w:rsidRPr="003774EB">
          <w:rPr>
            <w:rStyle w:val="Hyperlink"/>
            <w:rFonts w:ascii="Times New Roman" w:hAnsi="Times New Roman" w:cs="Times New Roman"/>
          </w:rPr>
          <w:t>error function</w:t>
        </w:r>
      </w:hyperlink>
      <w:r w:rsidRPr="003774EB">
        <w:rPr>
          <w:rFonts w:ascii="Times New Roman" w:hAnsi="Times New Roman" w:cs="Times New Roman"/>
        </w:rPr>
        <w:t>).</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AF276F">
        <w:object w:dxaOrig="6740" w:dyaOrig="880">
          <v:shape id="_x0000_i1041" type="#_x0000_t75" style="width:336.75pt;height:44.25pt" o:ole="">
            <v:imagedata r:id="rId61" o:title=""/>
          </v:shape>
          <o:OLEObject Type="Embed" ProgID="Equation.3" ShapeID="_x0000_i1041" DrawAspect="Content" ObjectID="_1312536518" r:id="rId74"/>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Because the price of futures is right, if computed as follows:</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lastRenderedPageBreak/>
        <w:t> </w:t>
      </w:r>
      <w:r w:rsidR="000C7013" w:rsidRPr="00AF276F">
        <w:object w:dxaOrig="1140" w:dyaOrig="320">
          <v:shape id="_x0000_i1042" type="#_x0000_t75" style="width:57pt;height:15.75pt" o:ole="">
            <v:imagedata r:id="rId75" o:title=""/>
          </v:shape>
          <o:OLEObject Type="Embed" ProgID="Equation.3" ShapeID="_x0000_i1042" DrawAspect="Content" ObjectID="_1312536519" r:id="rId76"/>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 The following must hold for all </w:t>
      </w:r>
      <w:r w:rsidRPr="003774EB">
        <w:rPr>
          <w:rFonts w:ascii="Times New Roman" w:hAnsi="Times New Roman" w:cs="Times New Roman"/>
          <w:i/>
          <w:iCs/>
        </w:rPr>
        <w:t>a</w:t>
      </w:r>
      <w:r w:rsidRPr="003774EB">
        <w:rPr>
          <w:rFonts w:ascii="Times New Roman" w:hAnsi="Times New Roman" w:cs="Times New Roman"/>
        </w:rPr>
        <w:t xml:space="preserve"> and </w:t>
      </w:r>
      <w:r w:rsidRPr="003774EB">
        <w:rPr>
          <w:rFonts w:ascii="Times New Roman" w:hAnsi="Times New Roman" w:cs="Times New Roman"/>
          <w:i/>
          <w:iCs/>
        </w:rPr>
        <w:t>k</w:t>
      </w:r>
    </w:p>
    <w:p w:rsidR="003774EB" w:rsidRPr="003774EB" w:rsidRDefault="000C7013" w:rsidP="003774EB">
      <w:pPr>
        <w:spacing w:before="100" w:beforeAutospacing="1" w:after="100" w:afterAutospacing="1" w:line="480" w:lineRule="auto"/>
        <w:jc w:val="both"/>
        <w:rPr>
          <w:rFonts w:ascii="Times New Roman" w:hAnsi="Times New Roman" w:cs="Times New Roman"/>
        </w:rPr>
      </w:pPr>
      <w:r w:rsidRPr="00763BFC">
        <w:rPr>
          <w:position w:val="-30"/>
        </w:rPr>
        <w:object w:dxaOrig="1780" w:dyaOrig="740">
          <v:shape id="_x0000_i1043" type="#_x0000_t75" style="width:89.25pt;height:36.75pt" o:ole="">
            <v:imagedata r:id="rId77" o:title=""/>
          </v:shape>
          <o:OLEObject Type="Embed" ProgID="Equation.3" ShapeID="_x0000_i1043" DrawAspect="Content" ObjectID="_1312536520" r:id="rId78"/>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In order to validate both of our formulas, we use an Excel model. The mean of our operation cost at $12</w:t>
      </w:r>
      <w:r w:rsidR="00D81F6D">
        <w:rPr>
          <w:rFonts w:ascii="Times New Roman" w:hAnsi="Times New Roman" w:cs="Times New Roman"/>
        </w:rPr>
        <w:t xml:space="preserve"> </w:t>
      </w:r>
      <w:r w:rsidRPr="003774EB">
        <w:rPr>
          <w:rFonts w:ascii="Times New Roman" w:hAnsi="Times New Roman" w:cs="Times New Roman"/>
        </w:rPr>
        <w:t>m</w:t>
      </w:r>
      <w:r w:rsidR="00D81F6D">
        <w:rPr>
          <w:rFonts w:ascii="Times New Roman" w:hAnsi="Times New Roman" w:cs="Times New Roman"/>
        </w:rPr>
        <w:t>il</w:t>
      </w:r>
      <w:r w:rsidRPr="003774EB">
        <w:rPr>
          <w:rFonts w:ascii="Times New Roman" w:hAnsi="Times New Roman" w:cs="Times New Roman"/>
        </w:rPr>
        <w:t xml:space="preserve"> and the variance is $3.2</w:t>
      </w:r>
      <w:r w:rsidR="00D81F6D">
        <w:rPr>
          <w:rFonts w:ascii="Times New Roman" w:hAnsi="Times New Roman" w:cs="Times New Roman"/>
        </w:rPr>
        <w:t xml:space="preserve"> </w:t>
      </w:r>
      <w:r w:rsidRPr="003774EB">
        <w:rPr>
          <w:rFonts w:ascii="Times New Roman" w:hAnsi="Times New Roman" w:cs="Times New Roman"/>
        </w:rPr>
        <w:t>m</w:t>
      </w:r>
      <w:r w:rsidR="00D81F6D">
        <w:rPr>
          <w:rFonts w:ascii="Times New Roman" w:hAnsi="Times New Roman" w:cs="Times New Roman"/>
        </w:rPr>
        <w:t>il</w:t>
      </w:r>
      <w:r w:rsidRPr="003774EB">
        <w:rPr>
          <w:rFonts w:ascii="Times New Roman" w:hAnsi="Times New Roman" w:cs="Times New Roman"/>
        </w:rPr>
        <w:t>. For a two-dimensional set of parameters, (a) strike prices varying from $4</w:t>
      </w:r>
      <w:r w:rsidR="00D81F6D">
        <w:rPr>
          <w:rFonts w:ascii="Times New Roman" w:hAnsi="Times New Roman" w:cs="Times New Roman"/>
        </w:rPr>
        <w:t xml:space="preserve"> </w:t>
      </w:r>
      <w:r w:rsidRPr="003774EB">
        <w:rPr>
          <w:rFonts w:ascii="Times New Roman" w:hAnsi="Times New Roman" w:cs="Times New Roman"/>
        </w:rPr>
        <w:t>m</w:t>
      </w:r>
      <w:r w:rsidR="00D81F6D">
        <w:rPr>
          <w:rFonts w:ascii="Times New Roman" w:hAnsi="Times New Roman" w:cs="Times New Roman"/>
        </w:rPr>
        <w:t>il</w:t>
      </w:r>
      <w:r w:rsidRPr="003774EB">
        <w:rPr>
          <w:rFonts w:ascii="Times New Roman" w:hAnsi="Times New Roman" w:cs="Times New Roman"/>
        </w:rPr>
        <w:t xml:space="preserve"> to $20</w:t>
      </w:r>
      <w:r w:rsidR="00D81F6D">
        <w:rPr>
          <w:rFonts w:ascii="Times New Roman" w:hAnsi="Times New Roman" w:cs="Times New Roman"/>
        </w:rPr>
        <w:t xml:space="preserve"> </w:t>
      </w:r>
      <w:r w:rsidRPr="003774EB">
        <w:rPr>
          <w:rFonts w:ascii="Times New Roman" w:hAnsi="Times New Roman" w:cs="Times New Roman"/>
        </w:rPr>
        <w:t>m</w:t>
      </w:r>
      <w:r w:rsidR="00D81F6D">
        <w:rPr>
          <w:rFonts w:ascii="Times New Roman" w:hAnsi="Times New Roman" w:cs="Times New Roman"/>
        </w:rPr>
        <w:t>il</w:t>
      </w:r>
      <w:r w:rsidRPr="003774EB">
        <w:rPr>
          <w:rFonts w:ascii="Times New Roman" w:hAnsi="Times New Roman" w:cs="Times New Roman"/>
        </w:rPr>
        <w:t xml:space="preserve"> and (b) the insurance ratios varying from 10% to 200%, we compute ‘right’ prices of futures using our formula </w:t>
      </w:r>
      <w:r w:rsidR="000C7013" w:rsidRPr="00AF276F">
        <w:rPr>
          <w:position w:val="-6"/>
        </w:rPr>
        <w:object w:dxaOrig="820" w:dyaOrig="320">
          <v:shape id="_x0000_i1044" type="#_x0000_t75" style="width:41.25pt;height:15.75pt" o:ole="">
            <v:imagedata r:id="rId79" o:title=""/>
          </v:shape>
          <o:OLEObject Type="Embed" ProgID="Equation.3" ShapeID="_x0000_i1044" DrawAspect="Content" ObjectID="_1312536521" r:id="rId80"/>
        </w:object>
      </w:r>
      <w:r w:rsidRPr="003774EB">
        <w:rPr>
          <w:rFonts w:ascii="Times New Roman" w:hAnsi="Times New Roman" w:cs="Times New Roman"/>
        </w:rPr>
        <w:t>. The blow chart shows this function for the two dimensional set of input parameters:</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w:t>
      </w:r>
      <w:r w:rsidRPr="003774EB">
        <w:rPr>
          <w:rFonts w:ascii="Times New Roman" w:hAnsi="Times New Roman" w:cs="Times New Roman"/>
          <w:noProof/>
        </w:rPr>
        <w:drawing>
          <wp:inline distT="0" distB="0" distL="0" distR="0">
            <wp:extent cx="4844058" cy="3295650"/>
            <wp:effectExtent l="0" t="0" r="0" b="0"/>
            <wp:docPr id="55" name="Picture 55" descr="http://switzernet.com/people/aram-gabrielyan/public/090819-average-of-hedged-cost/index_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itzernet.com/people/aram-gabrielyan/public/090819-average-of-hedged-cost/index_files/image014.png"/>
                    <pic:cNvPicPr>
                      <a:picLocks noChangeAspect="1" noChangeArrowheads="1"/>
                    </pic:cNvPicPr>
                  </pic:nvPicPr>
                  <pic:blipFill>
                    <a:blip r:embed="rId81" cstate="print"/>
                    <a:srcRect/>
                    <a:stretch>
                      <a:fillRect/>
                    </a:stretch>
                  </pic:blipFill>
                  <pic:spPr bwMode="auto">
                    <a:xfrm>
                      <a:off x="0" y="0"/>
                      <a:ext cx="4848225" cy="3298485"/>
                    </a:xfrm>
                    <a:prstGeom prst="rect">
                      <a:avLst/>
                    </a:prstGeom>
                    <a:noFill/>
                    <a:ln w="9525">
                      <a:noFill/>
                      <a:miter lim="800000"/>
                      <a:headEnd/>
                      <a:tailEnd/>
                    </a:ln>
                  </pic:spPr>
                </pic:pic>
              </a:graphicData>
            </a:graphic>
          </wp:inline>
        </w:drawing>
      </w:r>
      <w:r w:rsidRPr="003774EB">
        <w:rPr>
          <w:rFonts w:ascii="Times New Roman" w:hAnsi="Times New Roman" w:cs="Times New Roman"/>
        </w:rPr>
        <w:t xml:space="preserve"> </w:t>
      </w:r>
    </w:p>
    <w:p w:rsidR="003774EB" w:rsidRPr="003774EB" w:rsidRDefault="00D81F6D" w:rsidP="003774EB">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 S</w:t>
      </w:r>
      <w:r w:rsidR="003774EB" w:rsidRPr="003774EB">
        <w:rPr>
          <w:rFonts w:ascii="Times New Roman" w:hAnsi="Times New Roman" w:cs="Times New Roman"/>
        </w:rPr>
        <w:t xml:space="preserve">ub-sequentially, based on the right price, we compute probability density values with our formula </w:t>
      </w:r>
      <w:r w:rsidR="000C7013" w:rsidRPr="00AF276F">
        <w:rPr>
          <w:position w:val="-6"/>
        </w:rPr>
        <w:object w:dxaOrig="740" w:dyaOrig="380">
          <v:shape id="_x0000_i1045" type="#_x0000_t75" style="width:36.75pt;height:18.75pt" o:ole="">
            <v:imagedata r:id="rId82" o:title=""/>
          </v:shape>
          <o:OLEObject Type="Embed" ProgID="Equation.3" ShapeID="_x0000_i1045" DrawAspect="Content" ObjectID="_1312536522" r:id="rId83"/>
        </w:object>
      </w:r>
      <w:r w:rsidR="003774EB" w:rsidRPr="003774EB">
        <w:rPr>
          <w:rFonts w:ascii="Times New Roman" w:hAnsi="Times New Roman" w:cs="Times New Roman"/>
        </w:rPr>
        <w:t> by loading results into an array with prices ranging from $0 to $23’500’000.</w:t>
      </w:r>
    </w:p>
    <w:p w:rsid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lastRenderedPageBreak/>
        <w:t xml:space="preserve"> The following animation shows that the choice of </w:t>
      </w:r>
      <w:r w:rsidRPr="003774EB">
        <w:rPr>
          <w:rFonts w:ascii="Times New Roman" w:hAnsi="Times New Roman" w:cs="Times New Roman"/>
          <w:i/>
          <w:iCs/>
        </w:rPr>
        <w:t>a</w:t>
      </w:r>
      <w:r w:rsidRPr="003774EB">
        <w:rPr>
          <w:rFonts w:ascii="Times New Roman" w:hAnsi="Times New Roman" w:cs="Times New Roman"/>
        </w:rPr>
        <w:t xml:space="preserve"> and </w:t>
      </w:r>
      <w:r w:rsidRPr="003774EB">
        <w:rPr>
          <w:rFonts w:ascii="Times New Roman" w:hAnsi="Times New Roman" w:cs="Times New Roman"/>
          <w:i/>
          <w:iCs/>
        </w:rPr>
        <w:t>k</w:t>
      </w:r>
      <w:r w:rsidRPr="003774EB">
        <w:rPr>
          <w:rFonts w:ascii="Times New Roman" w:hAnsi="Times New Roman" w:cs="Times New Roman"/>
        </w:rPr>
        <w:t xml:space="preserve"> can change the shape of price distribution significantly:</w:t>
      </w:r>
    </w:p>
    <w:p w:rsidR="003774EB" w:rsidRDefault="003774EB" w:rsidP="003774EB">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Animation link:</w:t>
      </w:r>
    </w:p>
    <w:p w:rsidR="003774EB" w:rsidRPr="003774EB" w:rsidRDefault="00735044" w:rsidP="003774EB">
      <w:pPr>
        <w:spacing w:before="100" w:beforeAutospacing="1" w:after="100" w:afterAutospacing="1" w:line="480" w:lineRule="auto"/>
        <w:jc w:val="both"/>
        <w:rPr>
          <w:rFonts w:ascii="Times New Roman" w:hAnsi="Times New Roman" w:cs="Times New Roman"/>
          <w:b/>
          <w:color w:val="002060"/>
          <w:u w:val="single"/>
        </w:rPr>
      </w:pPr>
      <w:hyperlink r:id="rId84" w:history="1">
        <w:r w:rsidR="003774EB" w:rsidRPr="003774EB">
          <w:rPr>
            <w:rStyle w:val="Hyperlink"/>
            <w:rFonts w:ascii="Times New Roman" w:hAnsi="Times New Roman" w:cs="Times New Roman"/>
            <w:b/>
          </w:rPr>
          <w:t>http://switzernet.com/people/aram-gabrielyan</w:t>
        </w:r>
        <w:r w:rsidR="003774EB" w:rsidRPr="003774EB">
          <w:rPr>
            <w:rStyle w:val="Hyperlink"/>
            <w:rFonts w:ascii="Times New Roman" w:hAnsi="Times New Roman" w:cs="Times New Roman"/>
            <w:b/>
          </w:rPr>
          <w:t>/</w:t>
        </w:r>
        <w:r w:rsidR="003774EB" w:rsidRPr="003774EB">
          <w:rPr>
            <w:rStyle w:val="Hyperlink"/>
            <w:rFonts w:ascii="Times New Roman" w:hAnsi="Times New Roman" w:cs="Times New Roman"/>
            <w:b/>
          </w:rPr>
          <w:t>public/090819-average-of-hedged-cost/</w:t>
        </w:r>
      </w:hyperlink>
      <w:r w:rsidR="003774EB" w:rsidRPr="003774EB">
        <w:rPr>
          <w:rFonts w:ascii="Times New Roman" w:hAnsi="Times New Roman" w:cs="Times New Roman"/>
        </w:rPr>
        <w:t> </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By having, for each shape (dictated by a pair of strike price </w:t>
      </w:r>
      <w:r w:rsidRPr="003774EB">
        <w:rPr>
          <w:rFonts w:ascii="Times New Roman" w:hAnsi="Times New Roman" w:cs="Times New Roman"/>
          <w:i/>
          <w:iCs/>
        </w:rPr>
        <w:t>a</w:t>
      </w:r>
      <w:r w:rsidRPr="003774EB">
        <w:rPr>
          <w:rFonts w:ascii="Times New Roman" w:hAnsi="Times New Roman" w:cs="Times New Roman"/>
        </w:rPr>
        <w:t xml:space="preserve"> and insurance ratio </w:t>
      </w:r>
      <w:r w:rsidRPr="003774EB">
        <w:rPr>
          <w:rFonts w:ascii="Times New Roman" w:hAnsi="Times New Roman" w:cs="Times New Roman"/>
          <w:i/>
          <w:iCs/>
        </w:rPr>
        <w:t>k</w:t>
      </w:r>
      <w:r w:rsidR="00D81F6D">
        <w:rPr>
          <w:rFonts w:ascii="Times New Roman" w:hAnsi="Times New Roman" w:cs="Times New Roman"/>
        </w:rPr>
        <w:t>) of the probability density array</w:t>
      </w:r>
      <w:r w:rsidRPr="003774EB">
        <w:rPr>
          <w:rFonts w:ascii="Times New Roman" w:hAnsi="Times New Roman" w:cs="Times New Roman"/>
        </w:rPr>
        <w:t xml:space="preserve"> we compute the mean of the insured operation cost:</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w:t>
      </w:r>
      <w:r w:rsidR="000C7013" w:rsidRPr="00AF276F">
        <w:object w:dxaOrig="2460" w:dyaOrig="680">
          <v:shape id="_x0000_i1046" type="#_x0000_t75" style="width:123pt;height:33.75pt" o:ole="">
            <v:imagedata r:id="rId85" o:title=""/>
          </v:shape>
          <o:OLEObject Type="Embed" ProgID="Equation.3" ShapeID="_x0000_i1046" DrawAspect="Content" ObjectID="_1312536523" r:id="rId86"/>
        </w:objec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Irrespectively how wildly the probability density shape is changed (by the choice of two parameters of futures), the Excel simulation shows that the computed mean of insured operation </w:t>
      </w:r>
      <w:r w:rsidR="00D81F6D">
        <w:rPr>
          <w:rFonts w:ascii="Times New Roman" w:hAnsi="Times New Roman" w:cs="Times New Roman"/>
        </w:rPr>
        <w:t>costs</w:t>
      </w:r>
      <w:r w:rsidRPr="003774EB">
        <w:rPr>
          <w:rFonts w:ascii="Times New Roman" w:hAnsi="Times New Roman" w:cs="Times New Roman"/>
        </w:rPr>
        <w:t xml:space="preserve"> is always equal to the mean of the uninsured </w:t>
      </w:r>
      <w:r w:rsidR="00D81F6D">
        <w:rPr>
          <w:rFonts w:ascii="Times New Roman" w:hAnsi="Times New Roman" w:cs="Times New Roman"/>
        </w:rPr>
        <w:t>costs</w:t>
      </w:r>
      <w:r w:rsidRPr="003774EB">
        <w:rPr>
          <w:rFonts w:ascii="Times New Roman" w:hAnsi="Times New Roman" w:cs="Times New Roman"/>
        </w:rPr>
        <w:t xml:space="preserve">, i.e. to </w:t>
      </w:r>
      <w:r>
        <w:rPr>
          <w:rFonts w:ascii="Times New Roman" w:hAnsi="Times New Roman" w:cs="Times New Roman"/>
          <w:noProof/>
        </w:rPr>
        <w:t>µ</w:t>
      </w:r>
      <w:r w:rsidRPr="003774EB">
        <w:rPr>
          <w:rFonts w:ascii="Times New Roman" w:hAnsi="Times New Roman" w:cs="Times New Roman"/>
        </w:rPr>
        <w:t> (with exceptions of precision errors). This suggests no hidden costs in prices of futures.</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noProof/>
        </w:rPr>
        <w:drawing>
          <wp:inline distT="0" distB="0" distL="0" distR="0">
            <wp:extent cx="4400550" cy="3122103"/>
            <wp:effectExtent l="19050" t="0" r="0" b="0"/>
            <wp:docPr id="60" name="Picture 60" descr="http://switzernet.com/people/aram-gabrielyan/public/090819-average-of-hedged-cost/index_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itzernet.com/people/aram-gabrielyan/public/090819-average-of-hedged-cost/index_files/image023.png"/>
                    <pic:cNvPicPr>
                      <a:picLocks noChangeAspect="1" noChangeArrowheads="1"/>
                    </pic:cNvPicPr>
                  </pic:nvPicPr>
                  <pic:blipFill>
                    <a:blip r:embed="rId87" cstate="print"/>
                    <a:srcRect/>
                    <a:stretch>
                      <a:fillRect/>
                    </a:stretch>
                  </pic:blipFill>
                  <pic:spPr bwMode="auto">
                    <a:xfrm>
                      <a:off x="0" y="0"/>
                      <a:ext cx="4400550" cy="3122103"/>
                    </a:xfrm>
                    <a:prstGeom prst="rect">
                      <a:avLst/>
                    </a:prstGeom>
                    <a:noFill/>
                    <a:ln w="9525">
                      <a:noFill/>
                      <a:miter lim="800000"/>
                      <a:headEnd/>
                      <a:tailEnd/>
                    </a:ln>
                  </pic:spPr>
                </pic:pic>
              </a:graphicData>
            </a:graphic>
          </wp:inline>
        </w:drawing>
      </w:r>
      <w:r w:rsidRPr="003774EB">
        <w:rPr>
          <w:rFonts w:ascii="Times New Roman" w:hAnsi="Times New Roman" w:cs="Times New Roman"/>
        </w:rPr>
        <w:t xml:space="preserve"> </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lastRenderedPageBreak/>
        <w:t> </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The results of this simulation validate our two formulas for calculation of the ‘right’ price of futures </w:t>
      </w:r>
      <w:r w:rsidR="000C7013" w:rsidRPr="006546DF">
        <w:rPr>
          <w:position w:val="-6"/>
        </w:rPr>
        <w:object w:dxaOrig="820" w:dyaOrig="320">
          <v:shape id="_x0000_i1047" type="#_x0000_t75" style="width:41.25pt;height:15.75pt" o:ole="">
            <v:imagedata r:id="rId79" o:title=""/>
          </v:shape>
          <o:OLEObject Type="Embed" ProgID="Equation.3" ShapeID="_x0000_i1047" DrawAspect="Content" ObjectID="_1312536524" r:id="rId88"/>
        </w:object>
      </w:r>
      <w:r w:rsidR="00D81F6D">
        <w:rPr>
          <w:rFonts w:ascii="Times New Roman" w:hAnsi="Times New Roman" w:cs="Times New Roman"/>
        </w:rPr>
        <w:t xml:space="preserve"> and </w:t>
      </w:r>
      <w:r w:rsidRPr="003774EB">
        <w:rPr>
          <w:rFonts w:ascii="Times New Roman" w:hAnsi="Times New Roman" w:cs="Times New Roman"/>
        </w:rPr>
        <w:t xml:space="preserve">subsequent calculation of the insured </w:t>
      </w:r>
      <w:r w:rsidR="00D81F6D">
        <w:rPr>
          <w:rFonts w:ascii="Times New Roman" w:hAnsi="Times New Roman" w:cs="Times New Roman"/>
        </w:rPr>
        <w:t>costs'</w:t>
      </w:r>
      <w:r w:rsidRPr="003774EB">
        <w:rPr>
          <w:rFonts w:ascii="Times New Roman" w:hAnsi="Times New Roman" w:cs="Times New Roman"/>
        </w:rPr>
        <w:t xml:space="preserve"> probability density </w:t>
      </w:r>
      <w:r w:rsidR="000C7013" w:rsidRPr="006546DF">
        <w:rPr>
          <w:position w:val="-6"/>
        </w:rPr>
        <w:object w:dxaOrig="740" w:dyaOrig="380">
          <v:shape id="_x0000_i1048" type="#_x0000_t75" style="width:36.75pt;height:18.75pt" o:ole="">
            <v:imagedata r:id="rId82" o:title=""/>
          </v:shape>
          <o:OLEObject Type="Embed" ProgID="Equation.3" ShapeID="_x0000_i1048" DrawAspect="Content" ObjectID="_1312536525" r:id="rId89"/>
        </w:object>
      </w:r>
      <w:r w:rsidRPr="003774EB">
        <w:rPr>
          <w:rFonts w:ascii="Times New Roman" w:hAnsi="Times New Roman" w:cs="Times New Roman"/>
        </w:rPr>
        <w:t>.</w:t>
      </w:r>
    </w:p>
    <w:p w:rsidR="006F4C0E" w:rsidRPr="006F4C0E" w:rsidRDefault="0049137A" w:rsidP="006F4C0E">
      <w:pPr>
        <w:pStyle w:val="Heading1"/>
        <w:spacing w:line="480" w:lineRule="auto"/>
      </w:pPr>
      <w:bookmarkStart w:id="9" w:name="_Toc238794119"/>
      <w:r>
        <w:t xml:space="preserve">Finding the </w:t>
      </w:r>
      <w:r w:rsidR="00487EA0">
        <w:t>o</w:t>
      </w:r>
      <w:r>
        <w:t>ptimal strike price and volume of f</w:t>
      </w:r>
      <w:r w:rsidR="00487EA0">
        <w:t>utures</w:t>
      </w:r>
      <w:bookmarkEnd w:id="9"/>
    </w:p>
    <w:p w:rsidR="003774EB" w:rsidRPr="003774EB" w:rsidRDefault="00930882" w:rsidP="003774EB">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 xml:space="preserve">In our model </w:t>
      </w:r>
      <w:r w:rsidR="003774EB" w:rsidRPr="003774EB">
        <w:rPr>
          <w:rFonts w:ascii="Times New Roman" w:hAnsi="Times New Roman" w:cs="Times New Roman"/>
        </w:rPr>
        <w:t xml:space="preserve">we deal with future contracts that can </w:t>
      </w:r>
      <w:r>
        <w:rPr>
          <w:rFonts w:ascii="Times New Roman" w:hAnsi="Times New Roman" w:cs="Times New Roman"/>
        </w:rPr>
        <w:t>pay-off a portion</w:t>
      </w:r>
      <w:r w:rsidR="003774EB" w:rsidRPr="003774EB">
        <w:rPr>
          <w:rFonts w:ascii="Times New Roman" w:hAnsi="Times New Roman" w:cs="Times New Roman"/>
        </w:rPr>
        <w:t xml:space="preserve"> of </w:t>
      </w:r>
      <w:r>
        <w:rPr>
          <w:rFonts w:ascii="Times New Roman" w:hAnsi="Times New Roman" w:cs="Times New Roman"/>
        </w:rPr>
        <w:t xml:space="preserve">enterprise </w:t>
      </w:r>
      <w:r w:rsidR="003774EB" w:rsidRPr="003774EB">
        <w:rPr>
          <w:rFonts w:ascii="Times New Roman" w:hAnsi="Times New Roman" w:cs="Times New Roman"/>
        </w:rPr>
        <w:t xml:space="preserve">expenses exceeding a pre-selected strike price. The choice of the </w:t>
      </w:r>
      <w:r>
        <w:rPr>
          <w:rFonts w:ascii="Times New Roman" w:hAnsi="Times New Roman" w:cs="Times New Roman"/>
        </w:rPr>
        <w:t>pay-off portion</w:t>
      </w:r>
      <w:r w:rsidR="003774EB" w:rsidRPr="003774EB">
        <w:rPr>
          <w:rFonts w:ascii="Times New Roman" w:hAnsi="Times New Roman" w:cs="Times New Roman"/>
        </w:rPr>
        <w:t xml:space="preserve"> (of the excess with respect to the strike price) is made by the choice of the amount of purchased futures. This fraction can be less than, more than, or equal to 1. This model is applicable to a more general case, where instead of futures issued directly on the enterprise expenses, the futures are issued on another underlying instrument highly correlated to the enterprise expenses. HDD</w:t>
      </w:r>
      <w:r>
        <w:rPr>
          <w:rFonts w:ascii="Times New Roman" w:hAnsi="Times New Roman" w:cs="Times New Roman"/>
        </w:rPr>
        <w:t xml:space="preserve"> future contracts are a good example of such instruments</w:t>
      </w:r>
      <w:r w:rsidR="003774EB" w:rsidRPr="003774EB">
        <w:rPr>
          <w:rFonts w:ascii="Times New Roman" w:hAnsi="Times New Roman" w:cs="Times New Roman"/>
        </w:rPr>
        <w:t>.</w:t>
      </w:r>
    </w:p>
    <w:p w:rsidR="003774EB" w:rsidRPr="00721B38"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Our objective is to find the optimal strike price and volume of futures, purchased for hedging the enterprise expenses against volatility</w:t>
      </w:r>
      <w:r w:rsidR="00721B38">
        <w:rPr>
          <w:rFonts w:ascii="Times New Roman" w:hAnsi="Times New Roman" w:cs="Times New Roman"/>
        </w:rPr>
        <w:t xml:space="preserve"> (see </w:t>
      </w:r>
      <w:r w:rsidR="00721B38" w:rsidRPr="00721B38">
        <w:rPr>
          <w:rFonts w:ascii="Times New Roman" w:hAnsi="Times New Roman" w:cs="Times New Roman"/>
          <w:b/>
          <w:color w:val="365F91" w:themeColor="accent1" w:themeShade="BF"/>
          <w:sz w:val="28"/>
          <w:szCs w:val="28"/>
        </w:rPr>
        <w:t>Cost of Debt</w:t>
      </w:r>
      <w:r w:rsidR="00721B38" w:rsidRPr="00721B38">
        <w:rPr>
          <w:rFonts w:ascii="Times New Roman" w:hAnsi="Times New Roman" w:cs="Times New Roman"/>
        </w:rPr>
        <w:t xml:space="preserve"> section</w:t>
      </w:r>
      <w:r w:rsidR="00721B38">
        <w:rPr>
          <w:rFonts w:ascii="Times New Roman" w:hAnsi="Times New Roman" w:cs="Times New Roman"/>
        </w:rPr>
        <w:t>.</w:t>
      </w:r>
      <w:r w:rsidR="00721B38" w:rsidRPr="00721B38">
        <w:rPr>
          <w:rFonts w:ascii="Times New Roman" w:hAnsi="Times New Roman" w:cs="Times New Roman"/>
        </w:rPr>
        <w:t>)</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In [</w:t>
      </w:r>
      <w:hyperlink r:id="rId90" w:history="1">
        <w:r w:rsidRPr="003774EB">
          <w:rPr>
            <w:rStyle w:val="Hyperlink"/>
            <w:rFonts w:ascii="Times New Roman" w:hAnsi="Times New Roman" w:cs="Times New Roman"/>
          </w:rPr>
          <w:t>090817</w:t>
        </w:r>
      </w:hyperlink>
      <w:r w:rsidRPr="003774EB">
        <w:rPr>
          <w:rFonts w:ascii="Times New Roman" w:hAnsi="Times New Roman" w:cs="Times New Roman"/>
        </w:rPr>
        <w:t xml:space="preserve"> </w:t>
      </w:r>
      <w:hyperlink r:id="rId91" w:history="1">
        <w:r w:rsidRPr="003774EB">
          <w:rPr>
            <w:rStyle w:val="Hyperlink"/>
            <w:rFonts w:ascii="Times New Roman" w:hAnsi="Times New Roman" w:cs="Times New Roman"/>
          </w:rPr>
          <w:t>ii</w:t>
        </w:r>
      </w:hyperlink>
      <w:r w:rsidRPr="003774EB">
        <w:rPr>
          <w:rFonts w:ascii="Times New Roman" w:hAnsi="Times New Roman" w:cs="Times New Roman"/>
        </w:rPr>
        <w:t>] we developed price probability density transformation achieved by the purchase of futures. In [</w:t>
      </w:r>
      <w:hyperlink r:id="rId92" w:history="1">
        <w:r w:rsidRPr="003774EB">
          <w:rPr>
            <w:rStyle w:val="Hyperlink"/>
            <w:rFonts w:ascii="Times New Roman" w:hAnsi="Times New Roman" w:cs="Times New Roman"/>
          </w:rPr>
          <w:t>090819a</w:t>
        </w:r>
      </w:hyperlink>
      <w:r w:rsidRPr="003774EB">
        <w:rPr>
          <w:rFonts w:ascii="Times New Roman" w:hAnsi="Times New Roman" w:cs="Times New Roman"/>
        </w:rPr>
        <w:t xml:space="preserve"> </w:t>
      </w:r>
      <w:hyperlink r:id="rId93" w:history="1">
        <w:r w:rsidRPr="003774EB">
          <w:rPr>
            <w:rStyle w:val="Hyperlink"/>
            <w:rFonts w:ascii="Times New Roman" w:hAnsi="Times New Roman" w:cs="Times New Roman"/>
          </w:rPr>
          <w:t>ii</w:t>
        </w:r>
      </w:hyperlink>
      <w:r w:rsidRPr="003774EB">
        <w:rPr>
          <w:rFonts w:ascii="Times New Roman" w:hAnsi="Times New Roman" w:cs="Times New Roman"/>
        </w:rPr>
        <w:t xml:space="preserve">] we developed a formula for computing the neutrally </w:t>
      </w:r>
      <w:r w:rsidR="00721B38">
        <w:rPr>
          <w:rFonts w:ascii="Times New Roman" w:hAnsi="Times New Roman" w:cs="Times New Roman"/>
        </w:rPr>
        <w:t xml:space="preserve">or </w:t>
      </w:r>
      <w:r w:rsidRPr="003774EB">
        <w:rPr>
          <w:rFonts w:ascii="Times New Roman" w:hAnsi="Times New Roman" w:cs="Times New Roman"/>
        </w:rPr>
        <w:t>right price of futures. In [</w:t>
      </w:r>
      <w:hyperlink r:id="rId94" w:history="1">
        <w:r w:rsidRPr="003774EB">
          <w:rPr>
            <w:rStyle w:val="Hyperlink"/>
            <w:rFonts w:ascii="Times New Roman" w:hAnsi="Times New Roman" w:cs="Times New Roman"/>
          </w:rPr>
          <w:t>090819b</w:t>
        </w:r>
      </w:hyperlink>
      <w:r w:rsidRPr="003774EB">
        <w:rPr>
          <w:rFonts w:ascii="Times New Roman" w:hAnsi="Times New Roman" w:cs="Times New Roman"/>
        </w:rPr>
        <w:t xml:space="preserve"> </w:t>
      </w:r>
      <w:hyperlink r:id="rId95" w:history="1">
        <w:r w:rsidRPr="003774EB">
          <w:rPr>
            <w:rStyle w:val="Hyperlink"/>
            <w:rFonts w:ascii="Times New Roman" w:hAnsi="Times New Roman" w:cs="Times New Roman"/>
          </w:rPr>
          <w:t>ii</w:t>
        </w:r>
      </w:hyperlink>
      <w:r w:rsidRPr="003774EB">
        <w:rPr>
          <w:rFonts w:ascii="Times New Roman" w:hAnsi="Times New Roman" w:cs="Times New Roman"/>
        </w:rPr>
        <w:t xml:space="preserve">] we showed that the mean of insured expenses does not change, if the futures are bought at neutrally right prices. This means that if the market price of futures </w:t>
      </w:r>
      <w:r w:rsidR="00721B38">
        <w:rPr>
          <w:rFonts w:ascii="Times New Roman" w:hAnsi="Times New Roman" w:cs="Times New Roman"/>
        </w:rPr>
        <w:t xml:space="preserve">is always right, we are definitely interested in purchasing </w:t>
      </w:r>
      <w:r w:rsidRPr="003774EB">
        <w:rPr>
          <w:rFonts w:ascii="Times New Roman" w:hAnsi="Times New Roman" w:cs="Times New Roman"/>
        </w:rPr>
        <w:t>futures all the time, even if the volatility cost is low. Futures are narrowing the probability density of expenses and are therefore minimizing the volatility related debt costs.</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However the pleasure of having a future based insurance shall often have a market cost exceeding its neutrally right price [</w:t>
      </w:r>
      <w:hyperlink r:id="rId96" w:history="1">
        <w:r w:rsidRPr="003774EB">
          <w:rPr>
            <w:rStyle w:val="Hyperlink"/>
            <w:rFonts w:ascii="Times New Roman" w:hAnsi="Times New Roman" w:cs="Times New Roman"/>
          </w:rPr>
          <w:t>090819a</w:t>
        </w:r>
      </w:hyperlink>
      <w:r w:rsidRPr="003774EB">
        <w:rPr>
          <w:rFonts w:ascii="Times New Roman" w:hAnsi="Times New Roman" w:cs="Times New Roman"/>
        </w:rPr>
        <w:t xml:space="preserve"> </w:t>
      </w:r>
      <w:hyperlink r:id="rId97" w:history="1">
        <w:r w:rsidRPr="003774EB">
          <w:rPr>
            <w:rStyle w:val="Hyperlink"/>
            <w:rFonts w:ascii="Times New Roman" w:hAnsi="Times New Roman" w:cs="Times New Roman"/>
          </w:rPr>
          <w:t>ii</w:t>
        </w:r>
      </w:hyperlink>
      <w:r w:rsidRPr="003774EB">
        <w:rPr>
          <w:rFonts w:ascii="Times New Roman" w:hAnsi="Times New Roman" w:cs="Times New Roman"/>
        </w:rPr>
        <w:t>]. The difference between the market price of futures and the right price computed by our formulas [</w:t>
      </w:r>
      <w:hyperlink r:id="rId98" w:history="1">
        <w:r w:rsidRPr="003774EB">
          <w:rPr>
            <w:rStyle w:val="Hyperlink"/>
            <w:rFonts w:ascii="Times New Roman" w:hAnsi="Times New Roman" w:cs="Times New Roman"/>
          </w:rPr>
          <w:t>090819a</w:t>
        </w:r>
      </w:hyperlink>
      <w:r w:rsidRPr="003774EB">
        <w:rPr>
          <w:rFonts w:ascii="Times New Roman" w:hAnsi="Times New Roman" w:cs="Times New Roman"/>
        </w:rPr>
        <w:t xml:space="preserve"> </w:t>
      </w:r>
      <w:hyperlink r:id="rId99" w:history="1">
        <w:r w:rsidRPr="003774EB">
          <w:rPr>
            <w:rStyle w:val="Hyperlink"/>
            <w:rFonts w:ascii="Times New Roman" w:hAnsi="Times New Roman" w:cs="Times New Roman"/>
          </w:rPr>
          <w:t>ii</w:t>
        </w:r>
      </w:hyperlink>
      <w:r w:rsidRPr="003774EB">
        <w:rPr>
          <w:rFonts w:ascii="Times New Roman" w:hAnsi="Times New Roman" w:cs="Times New Roman"/>
        </w:rPr>
        <w:t xml:space="preserve">] is precisely the cost of this pleasure. This cost must be </w:t>
      </w:r>
      <w:r w:rsidRPr="003774EB">
        <w:rPr>
          <w:rFonts w:ascii="Times New Roman" w:hAnsi="Times New Roman" w:cs="Times New Roman"/>
        </w:rPr>
        <w:lastRenderedPageBreak/>
        <w:t>counterbalanced with savings achieved on the volatility side. The margin added on the right price of futures is represented in percentages. We analyze a range from 0.5% to 90%.</w:t>
      </w:r>
    </w:p>
    <w:p w:rsidR="00721B38"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In the following chart we assume that the default debt cost (</w:t>
      </w:r>
      <w:proofErr w:type="spellStart"/>
      <w:r w:rsidRPr="003774EB">
        <w:rPr>
          <w:rFonts w:ascii="Times New Roman" w:hAnsi="Times New Roman" w:cs="Times New Roman"/>
          <w:i/>
          <w:iCs/>
        </w:rPr>
        <w:t>debtc</w:t>
      </w:r>
      <w:proofErr w:type="spellEnd"/>
      <w:r w:rsidRPr="003774EB">
        <w:rPr>
          <w:rFonts w:ascii="Times New Roman" w:hAnsi="Times New Roman" w:cs="Times New Roman"/>
        </w:rPr>
        <w:t>) is equal to $300’000 (the default price applicable for all scenarios where expenses end up at the average of $12</w:t>
      </w:r>
      <w:r w:rsidR="00721B38">
        <w:rPr>
          <w:rFonts w:ascii="Times New Roman" w:hAnsi="Times New Roman" w:cs="Times New Roman"/>
        </w:rPr>
        <w:t xml:space="preserve"> </w:t>
      </w:r>
      <w:r w:rsidRPr="003774EB">
        <w:rPr>
          <w:rFonts w:ascii="Times New Roman" w:hAnsi="Times New Roman" w:cs="Times New Roman"/>
        </w:rPr>
        <w:t>m</w:t>
      </w:r>
      <w:r w:rsidR="00721B38">
        <w:rPr>
          <w:rFonts w:ascii="Times New Roman" w:hAnsi="Times New Roman" w:cs="Times New Roman"/>
        </w:rPr>
        <w:t>il</w:t>
      </w:r>
      <w:r w:rsidRPr="003774EB">
        <w:rPr>
          <w:rFonts w:ascii="Times New Roman" w:hAnsi="Times New Roman" w:cs="Times New Roman"/>
        </w:rPr>
        <w:t>). The multiplication factor (</w:t>
      </w:r>
      <w:proofErr w:type="spellStart"/>
      <w:r w:rsidRPr="003774EB">
        <w:rPr>
          <w:rFonts w:ascii="Times New Roman" w:hAnsi="Times New Roman" w:cs="Times New Roman"/>
          <w:i/>
          <w:iCs/>
        </w:rPr>
        <w:t>debtk</w:t>
      </w:r>
      <w:proofErr w:type="spellEnd"/>
      <w:r w:rsidRPr="003774EB">
        <w:rPr>
          <w:rFonts w:ascii="Times New Roman" w:hAnsi="Times New Roman" w:cs="Times New Roman"/>
        </w:rPr>
        <w:t>) is a parameter changing from 1.5 to 5. For instance if this factor is 2, it means that if the enterprise ends up with an expense of $15.2</w:t>
      </w:r>
      <w:r w:rsidR="00721B38">
        <w:rPr>
          <w:rFonts w:ascii="Times New Roman" w:hAnsi="Times New Roman" w:cs="Times New Roman"/>
        </w:rPr>
        <w:t xml:space="preserve"> </w:t>
      </w:r>
      <w:r w:rsidRPr="003774EB">
        <w:rPr>
          <w:rFonts w:ascii="Times New Roman" w:hAnsi="Times New Roman" w:cs="Times New Roman"/>
        </w:rPr>
        <w:t>m</w:t>
      </w:r>
      <w:r w:rsidR="00721B38">
        <w:rPr>
          <w:rFonts w:ascii="Times New Roman" w:hAnsi="Times New Roman" w:cs="Times New Roman"/>
        </w:rPr>
        <w:t>il</w:t>
      </w:r>
      <w:r w:rsidRPr="003774EB">
        <w:rPr>
          <w:rFonts w:ascii="Times New Roman" w:hAnsi="Times New Roman" w:cs="Times New Roman"/>
        </w:rPr>
        <w:t xml:space="preserve"> (i.e. one variance away from the mean), it will cost extra $600’000 to the company (e.g. du</w:t>
      </w:r>
      <w:r w:rsidR="00721B38">
        <w:rPr>
          <w:rFonts w:ascii="Times New Roman" w:hAnsi="Times New Roman" w:cs="Times New Roman"/>
        </w:rPr>
        <w:t xml:space="preserve">e to short-term debt interests) (see </w:t>
      </w:r>
      <w:r w:rsidR="00721B38" w:rsidRPr="00721B38">
        <w:rPr>
          <w:rFonts w:ascii="Times New Roman" w:hAnsi="Times New Roman" w:cs="Times New Roman"/>
          <w:b/>
          <w:color w:val="365F91" w:themeColor="accent1" w:themeShade="BF"/>
          <w:sz w:val="28"/>
          <w:szCs w:val="28"/>
        </w:rPr>
        <w:t>Cost of Debt</w:t>
      </w:r>
      <w:r w:rsidR="00721B38" w:rsidRPr="00721B38">
        <w:rPr>
          <w:rFonts w:ascii="Times New Roman" w:hAnsi="Times New Roman" w:cs="Times New Roman"/>
        </w:rPr>
        <w:t xml:space="preserve"> section</w:t>
      </w:r>
      <w:r w:rsidR="00721B38">
        <w:rPr>
          <w:rFonts w:ascii="Times New Roman" w:hAnsi="Times New Roman" w:cs="Times New Roman"/>
        </w:rPr>
        <w:t>.</w:t>
      </w:r>
      <w:r w:rsidR="00721B38" w:rsidRPr="00721B38">
        <w:rPr>
          <w:rFonts w:ascii="Times New Roman" w:hAnsi="Times New Roman" w:cs="Times New Roman"/>
        </w:rPr>
        <w:t>)</w:t>
      </w:r>
    </w:p>
    <w:p w:rsidR="003774EB"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 The surface shown in the </w:t>
      </w:r>
      <w:r w:rsidR="00721B38">
        <w:rPr>
          <w:rFonts w:ascii="Times New Roman" w:hAnsi="Times New Roman" w:cs="Times New Roman"/>
        </w:rPr>
        <w:t>animation</w:t>
      </w:r>
      <w:r w:rsidRPr="003774EB">
        <w:rPr>
          <w:rFonts w:ascii="Times New Roman" w:hAnsi="Times New Roman" w:cs="Times New Roman"/>
        </w:rPr>
        <w:t xml:space="preserve"> below represents the overall cost (the volatility debt cost together with the </w:t>
      </w:r>
      <w:r w:rsidR="00721B38">
        <w:rPr>
          <w:rFonts w:ascii="Times New Roman" w:hAnsi="Times New Roman" w:cs="Times New Roman"/>
        </w:rPr>
        <w:t>profit</w:t>
      </w:r>
      <w:r w:rsidRPr="003774EB">
        <w:rPr>
          <w:rFonts w:ascii="Times New Roman" w:hAnsi="Times New Roman" w:cs="Times New Roman"/>
        </w:rPr>
        <w:t xml:space="preserve"> margins paid to issuers of futures) as a function of the strike price (in the range from $4</w:t>
      </w:r>
      <w:r w:rsidR="00721B38">
        <w:rPr>
          <w:rFonts w:ascii="Times New Roman" w:hAnsi="Times New Roman" w:cs="Times New Roman"/>
        </w:rPr>
        <w:t xml:space="preserve"> </w:t>
      </w:r>
      <w:r w:rsidRPr="003774EB">
        <w:rPr>
          <w:rFonts w:ascii="Times New Roman" w:hAnsi="Times New Roman" w:cs="Times New Roman"/>
        </w:rPr>
        <w:t>m</w:t>
      </w:r>
      <w:r w:rsidR="00721B38">
        <w:rPr>
          <w:rFonts w:ascii="Times New Roman" w:hAnsi="Times New Roman" w:cs="Times New Roman"/>
        </w:rPr>
        <w:t>il</w:t>
      </w:r>
      <w:r w:rsidRPr="003774EB">
        <w:rPr>
          <w:rFonts w:ascii="Times New Roman" w:hAnsi="Times New Roman" w:cs="Times New Roman"/>
        </w:rPr>
        <w:t xml:space="preserve"> to $20</w:t>
      </w:r>
      <w:r w:rsidR="00721B38">
        <w:rPr>
          <w:rFonts w:ascii="Times New Roman" w:hAnsi="Times New Roman" w:cs="Times New Roman"/>
        </w:rPr>
        <w:t xml:space="preserve"> </w:t>
      </w:r>
      <w:r w:rsidRPr="003774EB">
        <w:rPr>
          <w:rFonts w:ascii="Times New Roman" w:hAnsi="Times New Roman" w:cs="Times New Roman"/>
        </w:rPr>
        <w:t>m</w:t>
      </w:r>
      <w:r w:rsidR="00721B38">
        <w:rPr>
          <w:rFonts w:ascii="Times New Roman" w:hAnsi="Times New Roman" w:cs="Times New Roman"/>
        </w:rPr>
        <w:t>il</w:t>
      </w:r>
      <w:r w:rsidRPr="003774EB">
        <w:rPr>
          <w:rFonts w:ascii="Times New Roman" w:hAnsi="Times New Roman" w:cs="Times New Roman"/>
        </w:rPr>
        <w:t xml:space="preserve">) and the insurance ratio (in the range from 10% to 200%). The animation shows the changes in the shape when changing the </w:t>
      </w:r>
      <w:r w:rsidR="00721B38">
        <w:rPr>
          <w:rFonts w:ascii="Times New Roman" w:hAnsi="Times New Roman" w:cs="Times New Roman"/>
        </w:rPr>
        <w:t>issuer's</w:t>
      </w:r>
      <w:r w:rsidRPr="003774EB">
        <w:rPr>
          <w:rFonts w:ascii="Times New Roman" w:hAnsi="Times New Roman" w:cs="Times New Roman"/>
        </w:rPr>
        <w:t xml:space="preserve"> </w:t>
      </w:r>
      <w:r w:rsidR="00721B38">
        <w:rPr>
          <w:rFonts w:ascii="Times New Roman" w:hAnsi="Times New Roman" w:cs="Times New Roman"/>
        </w:rPr>
        <w:t xml:space="preserve">profit </w:t>
      </w:r>
      <w:r w:rsidRPr="003774EB">
        <w:rPr>
          <w:rFonts w:ascii="Times New Roman" w:hAnsi="Times New Roman" w:cs="Times New Roman"/>
        </w:rPr>
        <w:t>margin (fairness) and the debt cost factor (dependence). For each frame (i.e. for each pair of fairness of futures and dependence of enterprise from the volatility), the text data panel shows the best recommended strike price and insurance ratio.</w:t>
      </w:r>
    </w:p>
    <w:p w:rsidR="00E432F1" w:rsidRPr="003774EB" w:rsidRDefault="003774EB" w:rsidP="003774EB">
      <w:pPr>
        <w:spacing w:before="100" w:beforeAutospacing="1" w:after="100" w:afterAutospacing="1" w:line="480" w:lineRule="auto"/>
        <w:jc w:val="both"/>
        <w:rPr>
          <w:rFonts w:ascii="Times New Roman" w:hAnsi="Times New Roman" w:cs="Times New Roman"/>
        </w:rPr>
      </w:pPr>
      <w:r w:rsidRPr="003774EB">
        <w:rPr>
          <w:rFonts w:ascii="Times New Roman" w:hAnsi="Times New Roman" w:cs="Times New Roman"/>
        </w:rPr>
        <w:t xml:space="preserve">This animation demonstrates the concave shaped form of the surface for all pairs of fairness and  dependence showing that there is always an optimal choice to make depending on the market prices of futures and the extra cost of the volatility of </w:t>
      </w:r>
      <w:r w:rsidR="00721B38">
        <w:rPr>
          <w:rFonts w:ascii="Times New Roman" w:hAnsi="Times New Roman" w:cs="Times New Roman"/>
        </w:rPr>
        <w:t>the enterprise</w:t>
      </w:r>
      <w:r w:rsidRPr="003774EB">
        <w:rPr>
          <w:rFonts w:ascii="Times New Roman" w:hAnsi="Times New Roman" w:cs="Times New Roman"/>
        </w:rPr>
        <w:t xml:space="preserve"> expenses.</w:t>
      </w:r>
    </w:p>
    <w:p w:rsidR="00E432F1" w:rsidRDefault="003774EB" w:rsidP="003774EB">
      <w:pPr>
        <w:spacing w:line="480" w:lineRule="auto"/>
        <w:jc w:val="both"/>
        <w:rPr>
          <w:rFonts w:ascii="Times New Roman" w:hAnsi="Times New Roman" w:cs="Times New Roman"/>
        </w:rPr>
      </w:pPr>
      <w:r w:rsidRPr="003774EB">
        <w:rPr>
          <w:rFonts w:ascii="Times New Roman" w:hAnsi="Times New Roman" w:cs="Times New Roman"/>
        </w:rPr>
        <w:t>Animation link</w:t>
      </w:r>
      <w:r>
        <w:rPr>
          <w:rFonts w:ascii="Times New Roman" w:hAnsi="Times New Roman" w:cs="Times New Roman"/>
        </w:rPr>
        <w:t>:</w:t>
      </w:r>
    </w:p>
    <w:p w:rsidR="003774EB" w:rsidRPr="003774EB" w:rsidRDefault="00735044" w:rsidP="003774EB">
      <w:pPr>
        <w:spacing w:line="480" w:lineRule="auto"/>
        <w:jc w:val="both"/>
        <w:rPr>
          <w:rFonts w:ascii="Times New Roman" w:hAnsi="Times New Roman" w:cs="Times New Roman"/>
          <w:b/>
          <w:color w:val="002060"/>
          <w:sz w:val="28"/>
          <w:szCs w:val="28"/>
          <w:u w:val="single"/>
        </w:rPr>
      </w:pPr>
      <w:hyperlink r:id="rId100" w:history="1">
        <w:r w:rsidR="003774EB" w:rsidRPr="003774EB">
          <w:rPr>
            <w:rStyle w:val="Hyperlink"/>
            <w:rFonts w:ascii="Times New Roman" w:hAnsi="Times New Roman" w:cs="Times New Roman"/>
            <w:b/>
            <w:sz w:val="28"/>
            <w:szCs w:val="28"/>
          </w:rPr>
          <w:t>http://switzernet.com/people/aram-gabrielyan/public/090820-best-strike/</w:t>
        </w:r>
      </w:hyperlink>
    </w:p>
    <w:sectPr w:rsidR="003774EB" w:rsidRPr="003774EB" w:rsidSect="004A5C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D6256E"/>
    <w:rsid w:val="0000608F"/>
    <w:rsid w:val="00007B4B"/>
    <w:rsid w:val="00020B4A"/>
    <w:rsid w:val="00047211"/>
    <w:rsid w:val="000C7013"/>
    <w:rsid w:val="000E2E3A"/>
    <w:rsid w:val="00105820"/>
    <w:rsid w:val="0016042C"/>
    <w:rsid w:val="00187B2A"/>
    <w:rsid w:val="00190968"/>
    <w:rsid w:val="001A4DAF"/>
    <w:rsid w:val="001D5D03"/>
    <w:rsid w:val="001E7C1A"/>
    <w:rsid w:val="003774EB"/>
    <w:rsid w:val="003818EC"/>
    <w:rsid w:val="00454EE7"/>
    <w:rsid w:val="00477105"/>
    <w:rsid w:val="00487EA0"/>
    <w:rsid w:val="0049137A"/>
    <w:rsid w:val="00491C25"/>
    <w:rsid w:val="004A5B32"/>
    <w:rsid w:val="004A5CB3"/>
    <w:rsid w:val="004D4405"/>
    <w:rsid w:val="005337BA"/>
    <w:rsid w:val="0058179A"/>
    <w:rsid w:val="005C69EB"/>
    <w:rsid w:val="006742D3"/>
    <w:rsid w:val="0069096F"/>
    <w:rsid w:val="00692F89"/>
    <w:rsid w:val="006C34BD"/>
    <w:rsid w:val="006E5E80"/>
    <w:rsid w:val="006F4C0E"/>
    <w:rsid w:val="00721B38"/>
    <w:rsid w:val="00726F8D"/>
    <w:rsid w:val="00735044"/>
    <w:rsid w:val="00755893"/>
    <w:rsid w:val="007670F4"/>
    <w:rsid w:val="007B6198"/>
    <w:rsid w:val="007B77FC"/>
    <w:rsid w:val="00807CB4"/>
    <w:rsid w:val="008621CD"/>
    <w:rsid w:val="008A73F8"/>
    <w:rsid w:val="008E4925"/>
    <w:rsid w:val="00930882"/>
    <w:rsid w:val="009B5E57"/>
    <w:rsid w:val="009B732E"/>
    <w:rsid w:val="009F690C"/>
    <w:rsid w:val="00A339A1"/>
    <w:rsid w:val="00A868C8"/>
    <w:rsid w:val="00A91591"/>
    <w:rsid w:val="00AA44EB"/>
    <w:rsid w:val="00AB0AEA"/>
    <w:rsid w:val="00AF1AC8"/>
    <w:rsid w:val="00B65E98"/>
    <w:rsid w:val="00BB15BC"/>
    <w:rsid w:val="00BB4246"/>
    <w:rsid w:val="00C04A8A"/>
    <w:rsid w:val="00C6116C"/>
    <w:rsid w:val="00D05539"/>
    <w:rsid w:val="00D11F5F"/>
    <w:rsid w:val="00D6256E"/>
    <w:rsid w:val="00D81F6D"/>
    <w:rsid w:val="00DB640C"/>
    <w:rsid w:val="00DC76CB"/>
    <w:rsid w:val="00DF41CB"/>
    <w:rsid w:val="00DF434F"/>
    <w:rsid w:val="00E0626F"/>
    <w:rsid w:val="00E21BEB"/>
    <w:rsid w:val="00E432F1"/>
    <w:rsid w:val="00EE2E1C"/>
    <w:rsid w:val="00F8407A"/>
    <w:rsid w:val="00FE2D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B3"/>
  </w:style>
  <w:style w:type="paragraph" w:styleId="Heading1">
    <w:name w:val="heading 1"/>
    <w:basedOn w:val="Normal"/>
    <w:next w:val="Normal"/>
    <w:link w:val="Heading1Char"/>
    <w:uiPriority w:val="9"/>
    <w:qFormat/>
    <w:rsid w:val="00D625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0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25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25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6256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6256E"/>
    <w:pPr>
      <w:spacing w:after="0" w:line="240" w:lineRule="auto"/>
    </w:pPr>
  </w:style>
  <w:style w:type="paragraph" w:styleId="TOCHeading">
    <w:name w:val="TOC Heading"/>
    <w:basedOn w:val="Heading1"/>
    <w:next w:val="Normal"/>
    <w:uiPriority w:val="39"/>
    <w:semiHidden/>
    <w:unhideWhenUsed/>
    <w:qFormat/>
    <w:rsid w:val="0000608F"/>
    <w:pPr>
      <w:outlineLvl w:val="9"/>
    </w:pPr>
  </w:style>
  <w:style w:type="paragraph" w:styleId="TOC1">
    <w:name w:val="toc 1"/>
    <w:basedOn w:val="Normal"/>
    <w:next w:val="Normal"/>
    <w:autoRedefine/>
    <w:uiPriority w:val="39"/>
    <w:unhideWhenUsed/>
    <w:qFormat/>
    <w:rsid w:val="0000608F"/>
    <w:pPr>
      <w:spacing w:after="100"/>
    </w:pPr>
  </w:style>
  <w:style w:type="character" w:styleId="Hyperlink">
    <w:name w:val="Hyperlink"/>
    <w:basedOn w:val="DefaultParagraphFont"/>
    <w:uiPriority w:val="99"/>
    <w:unhideWhenUsed/>
    <w:rsid w:val="0000608F"/>
    <w:rPr>
      <w:color w:val="0000FF" w:themeColor="hyperlink"/>
      <w:u w:val="single"/>
    </w:rPr>
  </w:style>
  <w:style w:type="paragraph" w:styleId="BalloonText">
    <w:name w:val="Balloon Text"/>
    <w:basedOn w:val="Normal"/>
    <w:link w:val="BalloonTextChar"/>
    <w:uiPriority w:val="99"/>
    <w:semiHidden/>
    <w:unhideWhenUsed/>
    <w:rsid w:val="00006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08F"/>
    <w:rPr>
      <w:rFonts w:ascii="Tahoma" w:hAnsi="Tahoma" w:cs="Tahoma"/>
      <w:sz w:val="16"/>
      <w:szCs w:val="16"/>
    </w:rPr>
  </w:style>
  <w:style w:type="character" w:customStyle="1" w:styleId="Heading2Char">
    <w:name w:val="Heading 2 Char"/>
    <w:basedOn w:val="DefaultParagraphFont"/>
    <w:link w:val="Heading2"/>
    <w:uiPriority w:val="9"/>
    <w:rsid w:val="0000608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00608F"/>
    <w:pPr>
      <w:spacing w:after="100"/>
      <w:ind w:left="220"/>
    </w:pPr>
    <w:rPr>
      <w:rFonts w:eastAsiaTheme="minorEastAsia"/>
    </w:rPr>
  </w:style>
  <w:style w:type="paragraph" w:styleId="TOC3">
    <w:name w:val="toc 3"/>
    <w:basedOn w:val="Normal"/>
    <w:next w:val="Normal"/>
    <w:autoRedefine/>
    <w:uiPriority w:val="39"/>
    <w:semiHidden/>
    <w:unhideWhenUsed/>
    <w:qFormat/>
    <w:rsid w:val="0000608F"/>
    <w:pPr>
      <w:spacing w:after="100"/>
      <w:ind w:left="440"/>
    </w:pPr>
    <w:rPr>
      <w:rFonts w:eastAsiaTheme="minorEastAsia"/>
    </w:rPr>
  </w:style>
  <w:style w:type="paragraph" w:styleId="BodyText">
    <w:name w:val="Body Text"/>
    <w:basedOn w:val="Normal"/>
    <w:link w:val="BodyTextChar"/>
    <w:semiHidden/>
    <w:rsid w:val="001E7C1A"/>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1E7C1A"/>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C34BD"/>
    <w:rPr>
      <w:color w:val="808080"/>
    </w:rPr>
  </w:style>
  <w:style w:type="character" w:styleId="FollowedHyperlink">
    <w:name w:val="FollowedHyperlink"/>
    <w:basedOn w:val="DefaultParagraphFont"/>
    <w:uiPriority w:val="99"/>
    <w:semiHidden/>
    <w:unhideWhenUsed/>
    <w:rsid w:val="003774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4413297">
      <w:bodyDiv w:val="1"/>
      <w:marLeft w:val="0"/>
      <w:marRight w:val="0"/>
      <w:marTop w:val="0"/>
      <w:marBottom w:val="0"/>
      <w:divBdr>
        <w:top w:val="none" w:sz="0" w:space="0" w:color="auto"/>
        <w:left w:val="none" w:sz="0" w:space="0" w:color="auto"/>
        <w:bottom w:val="none" w:sz="0" w:space="0" w:color="auto"/>
        <w:right w:val="none" w:sz="0" w:space="0" w:color="auto"/>
      </w:divBdr>
    </w:div>
    <w:div w:id="300159649">
      <w:bodyDiv w:val="1"/>
      <w:marLeft w:val="0"/>
      <w:marRight w:val="0"/>
      <w:marTop w:val="0"/>
      <w:marBottom w:val="0"/>
      <w:divBdr>
        <w:top w:val="none" w:sz="0" w:space="0" w:color="auto"/>
        <w:left w:val="none" w:sz="0" w:space="0" w:color="auto"/>
        <w:bottom w:val="none" w:sz="0" w:space="0" w:color="auto"/>
        <w:right w:val="none" w:sz="0" w:space="0" w:color="auto"/>
      </w:divBdr>
    </w:div>
    <w:div w:id="316152612">
      <w:bodyDiv w:val="1"/>
      <w:marLeft w:val="0"/>
      <w:marRight w:val="0"/>
      <w:marTop w:val="0"/>
      <w:marBottom w:val="0"/>
      <w:divBdr>
        <w:top w:val="none" w:sz="0" w:space="0" w:color="auto"/>
        <w:left w:val="none" w:sz="0" w:space="0" w:color="auto"/>
        <w:bottom w:val="none" w:sz="0" w:space="0" w:color="auto"/>
        <w:right w:val="none" w:sz="0" w:space="0" w:color="auto"/>
      </w:divBdr>
    </w:div>
    <w:div w:id="466512969">
      <w:bodyDiv w:val="1"/>
      <w:marLeft w:val="0"/>
      <w:marRight w:val="0"/>
      <w:marTop w:val="0"/>
      <w:marBottom w:val="0"/>
      <w:divBdr>
        <w:top w:val="none" w:sz="0" w:space="0" w:color="auto"/>
        <w:left w:val="none" w:sz="0" w:space="0" w:color="auto"/>
        <w:bottom w:val="none" w:sz="0" w:space="0" w:color="auto"/>
        <w:right w:val="none" w:sz="0" w:space="0" w:color="auto"/>
      </w:divBdr>
    </w:div>
    <w:div w:id="770324043">
      <w:bodyDiv w:val="1"/>
      <w:marLeft w:val="0"/>
      <w:marRight w:val="0"/>
      <w:marTop w:val="0"/>
      <w:marBottom w:val="0"/>
      <w:divBdr>
        <w:top w:val="none" w:sz="0" w:space="0" w:color="auto"/>
        <w:left w:val="none" w:sz="0" w:space="0" w:color="auto"/>
        <w:bottom w:val="none" w:sz="0" w:space="0" w:color="auto"/>
        <w:right w:val="none" w:sz="0" w:space="0" w:color="auto"/>
      </w:divBdr>
    </w:div>
    <w:div w:id="813958915">
      <w:bodyDiv w:val="1"/>
      <w:marLeft w:val="0"/>
      <w:marRight w:val="0"/>
      <w:marTop w:val="0"/>
      <w:marBottom w:val="0"/>
      <w:divBdr>
        <w:top w:val="none" w:sz="0" w:space="0" w:color="auto"/>
        <w:left w:val="none" w:sz="0" w:space="0" w:color="auto"/>
        <w:bottom w:val="none" w:sz="0" w:space="0" w:color="auto"/>
        <w:right w:val="none" w:sz="0" w:space="0" w:color="auto"/>
      </w:divBdr>
    </w:div>
    <w:div w:id="1478493683">
      <w:bodyDiv w:val="1"/>
      <w:marLeft w:val="0"/>
      <w:marRight w:val="0"/>
      <w:marTop w:val="0"/>
      <w:marBottom w:val="0"/>
      <w:divBdr>
        <w:top w:val="none" w:sz="0" w:space="0" w:color="auto"/>
        <w:left w:val="none" w:sz="0" w:space="0" w:color="auto"/>
        <w:bottom w:val="none" w:sz="0" w:space="0" w:color="auto"/>
        <w:right w:val="none" w:sz="0" w:space="0" w:color="auto"/>
      </w:divBdr>
    </w:div>
    <w:div w:id="1538197060">
      <w:bodyDiv w:val="1"/>
      <w:marLeft w:val="0"/>
      <w:marRight w:val="0"/>
      <w:marTop w:val="0"/>
      <w:marBottom w:val="0"/>
      <w:divBdr>
        <w:top w:val="none" w:sz="0" w:space="0" w:color="auto"/>
        <w:left w:val="none" w:sz="0" w:space="0" w:color="auto"/>
        <w:bottom w:val="none" w:sz="0" w:space="0" w:color="auto"/>
        <w:right w:val="none" w:sz="0" w:space="0" w:color="auto"/>
      </w:divBdr>
    </w:div>
    <w:div w:id="2082942065">
      <w:bodyDiv w:val="1"/>
      <w:marLeft w:val="0"/>
      <w:marRight w:val="0"/>
      <w:marTop w:val="0"/>
      <w:marBottom w:val="0"/>
      <w:divBdr>
        <w:top w:val="none" w:sz="0" w:space="0" w:color="auto"/>
        <w:left w:val="none" w:sz="0" w:space="0" w:color="auto"/>
        <w:bottom w:val="none" w:sz="0" w:space="0" w:color="auto"/>
        <w:right w:val="none" w:sz="0" w:space="0" w:color="auto"/>
      </w:divBdr>
    </w:div>
    <w:div w:id="210117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Normal_distribution" TargetMode="External"/><Relationship Id="rId21" Type="http://schemas.openxmlformats.org/officeDocument/2006/relationships/image" Target="media/image2.wmf"/><Relationship Id="rId34" Type="http://schemas.openxmlformats.org/officeDocument/2006/relationships/oleObject" Target="embeddings/oleObject6.bin"/><Relationship Id="rId42" Type="http://schemas.openxmlformats.org/officeDocument/2006/relationships/image" Target="media/image12.png"/><Relationship Id="rId47" Type="http://schemas.openxmlformats.org/officeDocument/2006/relationships/oleObject" Target="embeddings/oleObject11.bin"/><Relationship Id="rId50" Type="http://schemas.openxmlformats.org/officeDocument/2006/relationships/hyperlink" Target="http://en.wikipedia.org/wiki/Normal_distribution" TargetMode="External"/><Relationship Id="rId55" Type="http://schemas.openxmlformats.org/officeDocument/2006/relationships/oleObject" Target="embeddings/oleObject14.bin"/><Relationship Id="rId63" Type="http://schemas.openxmlformats.org/officeDocument/2006/relationships/hyperlink" Target="http://switzernet.com/people/aram-gabrielyan/public/090819-neutral-price-vs-Black-Scholes/" TargetMode="External"/><Relationship Id="rId68" Type="http://schemas.openxmlformats.org/officeDocument/2006/relationships/hyperlink" Target="http://en.wikipedia.org/wiki/Normal_distribution" TargetMode="External"/><Relationship Id="rId76" Type="http://schemas.openxmlformats.org/officeDocument/2006/relationships/oleObject" Target="embeddings/oleObject20.bin"/><Relationship Id="rId84" Type="http://schemas.openxmlformats.org/officeDocument/2006/relationships/hyperlink" Target="http://switzernet.com/people/aram-gabrielyan/public/090819-average-of-hedged-cost/" TargetMode="External"/><Relationship Id="rId89" Type="http://schemas.openxmlformats.org/officeDocument/2006/relationships/oleObject" Target="embeddings/oleObject26.bin"/><Relationship Id="rId97" Type="http://schemas.openxmlformats.org/officeDocument/2006/relationships/hyperlink" Target="http://unappel.ch/people/aram-gabrielyan/public/090819-neutral-price-vs-Black-Scholes/" TargetMode="External"/><Relationship Id="rId7" Type="http://schemas.openxmlformats.org/officeDocument/2006/relationships/oleObject" Target="embeddings/oleObject1.bin"/><Relationship Id="rId71" Type="http://schemas.openxmlformats.org/officeDocument/2006/relationships/hyperlink" Target="http://switzernet.com/people/aram-gabrielyan/public/090819-neutral-price-vs-Black-Scholes/" TargetMode="External"/><Relationship Id="rId92" Type="http://schemas.openxmlformats.org/officeDocument/2006/relationships/hyperlink" Target="http://switzernet.com/people/aram-gabrielyan/public/090819-neutral-price-vs-Black-Scholes/" TargetMode="External"/><Relationship Id="rId2" Type="http://schemas.openxmlformats.org/officeDocument/2006/relationships/styles" Target="styles.xml"/><Relationship Id="rId16" Type="http://schemas.openxmlformats.org/officeDocument/2006/relationships/hyperlink" Target="http://www.wrcc.dri.edu/cgi-bin/cliMAIN.pl?calacc" TargetMode="External"/><Relationship Id="rId29" Type="http://schemas.openxmlformats.org/officeDocument/2006/relationships/image" Target="media/image5.png"/><Relationship Id="rId11" Type="http://schemas.openxmlformats.org/officeDocument/2006/relationships/chart" Target="charts/chart3.xml"/><Relationship Id="rId24" Type="http://schemas.openxmlformats.org/officeDocument/2006/relationships/oleObject" Target="embeddings/oleObject3.bin"/><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image" Target="media/image11.wmf"/><Relationship Id="rId45" Type="http://schemas.openxmlformats.org/officeDocument/2006/relationships/oleObject" Target="embeddings/oleObject10.bin"/><Relationship Id="rId53" Type="http://schemas.openxmlformats.org/officeDocument/2006/relationships/hyperlink" Target="http://en.wikipedia.org/wiki/Lists_of_integrals" TargetMode="External"/><Relationship Id="rId58" Type="http://schemas.openxmlformats.org/officeDocument/2006/relationships/oleObject" Target="embeddings/oleObject15.bin"/><Relationship Id="rId66" Type="http://schemas.openxmlformats.org/officeDocument/2006/relationships/hyperlink" Target="http://switzernet.com/people/aram-gabrielyan/public/090819-neutral-price-vs-Black-Scholes/" TargetMode="External"/><Relationship Id="rId74" Type="http://schemas.openxmlformats.org/officeDocument/2006/relationships/oleObject" Target="embeddings/oleObject19.bin"/><Relationship Id="rId79" Type="http://schemas.openxmlformats.org/officeDocument/2006/relationships/image" Target="media/image24.wmf"/><Relationship Id="rId87" Type="http://schemas.openxmlformats.org/officeDocument/2006/relationships/image" Target="media/image28.png"/><Relationship Id="rId102" Type="http://schemas.openxmlformats.org/officeDocument/2006/relationships/theme" Target="theme/theme1.xml"/><Relationship Id="rId5" Type="http://schemas.openxmlformats.org/officeDocument/2006/relationships/hyperlink" Target="http://www.google.org/flutrends/intl/en_us/" TargetMode="External"/><Relationship Id="rId61" Type="http://schemas.openxmlformats.org/officeDocument/2006/relationships/image" Target="media/image20.wmf"/><Relationship Id="rId82" Type="http://schemas.openxmlformats.org/officeDocument/2006/relationships/image" Target="media/image26.wmf"/><Relationship Id="rId90" Type="http://schemas.openxmlformats.org/officeDocument/2006/relationships/hyperlink" Target="http://switzernet.com/people/aram-gabrielyan/public/090817-hedging-cost-with-futures/" TargetMode="External"/><Relationship Id="rId95" Type="http://schemas.openxmlformats.org/officeDocument/2006/relationships/hyperlink" Target="http://unappel.ch/people/aram-gabrielyan/public/090819-average-of-hedged-cost/" TargetMode="External"/><Relationship Id="rId19" Type="http://schemas.openxmlformats.org/officeDocument/2006/relationships/hyperlink" Target="http://www.cdc.gov/flu/weekly/" TargetMode="External"/><Relationship Id="rId14" Type="http://schemas.openxmlformats.org/officeDocument/2006/relationships/chart" Target="charts/chart4.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image" Target="media/image6.wmf"/><Relationship Id="rId35" Type="http://schemas.openxmlformats.org/officeDocument/2006/relationships/image" Target="media/image9.wmf"/><Relationship Id="rId43" Type="http://schemas.openxmlformats.org/officeDocument/2006/relationships/hyperlink" Target="http://en.wikipedia.org/wiki/Derivative" TargetMode="External"/><Relationship Id="rId48" Type="http://schemas.openxmlformats.org/officeDocument/2006/relationships/image" Target="media/image15.wmf"/><Relationship Id="rId56" Type="http://schemas.openxmlformats.org/officeDocument/2006/relationships/hyperlink" Target="http://en.wikipedia.org/wiki/Derivative" TargetMode="External"/><Relationship Id="rId64" Type="http://schemas.openxmlformats.org/officeDocument/2006/relationships/hyperlink" Target="http://switzernet.com/people/aram-gabrielyan/public/090817-hedging-cost-with-futures/" TargetMode="External"/><Relationship Id="rId69" Type="http://schemas.openxmlformats.org/officeDocument/2006/relationships/image" Target="media/image21.wmf"/><Relationship Id="rId77" Type="http://schemas.openxmlformats.org/officeDocument/2006/relationships/image" Target="media/image23.wmf"/><Relationship Id="rId100" Type="http://schemas.openxmlformats.org/officeDocument/2006/relationships/hyperlink" Target="http://switzernet.com/people/aram-gabrielyan/public/090820-best-strike/" TargetMode="External"/><Relationship Id="rId8" Type="http://schemas.openxmlformats.org/officeDocument/2006/relationships/chart" Target="charts/chart1.xml"/><Relationship Id="rId51" Type="http://schemas.openxmlformats.org/officeDocument/2006/relationships/image" Target="media/image16.wmf"/><Relationship Id="rId72" Type="http://schemas.openxmlformats.org/officeDocument/2006/relationships/hyperlink" Target="http://unappel.ch/people/aram-gabrielyan/public/090819-neutral-price-vs-Black-Scholes/" TargetMode="External"/><Relationship Id="rId80" Type="http://schemas.openxmlformats.org/officeDocument/2006/relationships/oleObject" Target="embeddings/oleObject22.bin"/><Relationship Id="rId85" Type="http://schemas.openxmlformats.org/officeDocument/2006/relationships/image" Target="media/image27.wmf"/><Relationship Id="rId93" Type="http://schemas.openxmlformats.org/officeDocument/2006/relationships/hyperlink" Target="http://unappel.ch/people/aram-gabrielyan/public/090819-neutral-price-vs-Black-Scholes/" TargetMode="External"/><Relationship Id="rId98" Type="http://schemas.openxmlformats.org/officeDocument/2006/relationships/hyperlink" Target="http://switzernet.com/people/aram-gabrielyan/public/090819-neutral-price-vs-Black-Scholes/" TargetMode="External"/><Relationship Id="rId3" Type="http://schemas.openxmlformats.org/officeDocument/2006/relationships/settings" Target="settings.xml"/><Relationship Id="rId12" Type="http://schemas.openxmlformats.org/officeDocument/2006/relationships/hyperlink" Target="http://www.wrcc.dri.edu/cgi-bin/cliMAIN.pl?calacc" TargetMode="External"/><Relationship Id="rId17" Type="http://schemas.openxmlformats.org/officeDocument/2006/relationships/hyperlink" Target="http://www.cdc.gov/flu/weekly/" TargetMode="External"/><Relationship Id="rId25" Type="http://schemas.openxmlformats.org/officeDocument/2006/relationships/hyperlink" Target="http://switzernet.com/people/aram-gabrielyan/public/090817-hedging-cost-with-futures/" TargetMode="External"/><Relationship Id="rId33" Type="http://schemas.openxmlformats.org/officeDocument/2006/relationships/image" Target="media/image8.wmf"/><Relationship Id="rId38" Type="http://schemas.openxmlformats.org/officeDocument/2006/relationships/oleObject" Target="embeddings/oleObject8.bin"/><Relationship Id="rId46" Type="http://schemas.openxmlformats.org/officeDocument/2006/relationships/image" Target="media/image14.wmf"/><Relationship Id="rId59" Type="http://schemas.openxmlformats.org/officeDocument/2006/relationships/image" Target="media/image19.wmf"/><Relationship Id="rId67" Type="http://schemas.openxmlformats.org/officeDocument/2006/relationships/hyperlink" Target="http://unappel.ch/people/aram-gabrielyan/public/090819-neutral-price-vs-Black-Scholes/" TargetMode="External"/><Relationship Id="rId20" Type="http://schemas.openxmlformats.org/officeDocument/2006/relationships/chart" Target="charts/chart7.xml"/><Relationship Id="rId41" Type="http://schemas.openxmlformats.org/officeDocument/2006/relationships/oleObject" Target="embeddings/oleObject9.bin"/><Relationship Id="rId54" Type="http://schemas.openxmlformats.org/officeDocument/2006/relationships/image" Target="media/image17.wmf"/><Relationship Id="rId62" Type="http://schemas.openxmlformats.org/officeDocument/2006/relationships/oleObject" Target="embeddings/oleObject17.bin"/><Relationship Id="rId70" Type="http://schemas.openxmlformats.org/officeDocument/2006/relationships/oleObject" Target="embeddings/oleObject18.bin"/><Relationship Id="rId75" Type="http://schemas.openxmlformats.org/officeDocument/2006/relationships/image" Target="media/image22.wmf"/><Relationship Id="rId83" Type="http://schemas.openxmlformats.org/officeDocument/2006/relationships/oleObject" Target="embeddings/oleObject23.bin"/><Relationship Id="rId88" Type="http://schemas.openxmlformats.org/officeDocument/2006/relationships/oleObject" Target="embeddings/oleObject25.bin"/><Relationship Id="rId91" Type="http://schemas.openxmlformats.org/officeDocument/2006/relationships/hyperlink" Target="http://unappel.ch/people/aram-gabrielyan/public/090817-hedging-cost-with-futures/" TargetMode="External"/><Relationship Id="rId96" Type="http://schemas.openxmlformats.org/officeDocument/2006/relationships/hyperlink" Target="http://switzernet.com/people/aram-gabrielyan/public/090819-neutral-price-vs-Black-Schole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hart" Target="charts/chart5.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2.bin"/><Relationship Id="rId57" Type="http://schemas.openxmlformats.org/officeDocument/2006/relationships/image" Target="media/image18.wmf"/><Relationship Id="rId10" Type="http://schemas.openxmlformats.org/officeDocument/2006/relationships/hyperlink" Target="http://www.cdc.gov/flu/weekly/" TargetMode="External"/><Relationship Id="rId31" Type="http://schemas.openxmlformats.org/officeDocument/2006/relationships/oleObject" Target="embeddings/oleObject5.bin"/><Relationship Id="rId44" Type="http://schemas.openxmlformats.org/officeDocument/2006/relationships/image" Target="media/image13.wmf"/><Relationship Id="rId52" Type="http://schemas.openxmlformats.org/officeDocument/2006/relationships/oleObject" Target="embeddings/oleObject13.bin"/><Relationship Id="rId60" Type="http://schemas.openxmlformats.org/officeDocument/2006/relationships/oleObject" Target="embeddings/oleObject16.bin"/><Relationship Id="rId65" Type="http://schemas.openxmlformats.org/officeDocument/2006/relationships/hyperlink" Target="http://unappel.ch/people/aram-gabrielyan/public/090817-hedging-cost-with-futures/" TargetMode="External"/><Relationship Id="rId73" Type="http://schemas.openxmlformats.org/officeDocument/2006/relationships/hyperlink" Target="http://en.wikipedia.org/wiki/Error_function" TargetMode="External"/><Relationship Id="rId78" Type="http://schemas.openxmlformats.org/officeDocument/2006/relationships/oleObject" Target="embeddings/oleObject21.bin"/><Relationship Id="rId81" Type="http://schemas.openxmlformats.org/officeDocument/2006/relationships/image" Target="media/image25.png"/><Relationship Id="rId86" Type="http://schemas.openxmlformats.org/officeDocument/2006/relationships/oleObject" Target="embeddings/oleObject24.bin"/><Relationship Id="rId94" Type="http://schemas.openxmlformats.org/officeDocument/2006/relationships/hyperlink" Target="http://switzernet.com/people/aram-gabrielyan/public/090819-average-of-hedged-cost/" TargetMode="External"/><Relationship Id="rId99" Type="http://schemas.openxmlformats.org/officeDocument/2006/relationships/hyperlink" Target="http://unappel.ch/people/aram-gabrielyan/public/090819-neutral-price-vs-Black-Scholes/"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hyperlink" Target="http://www.wrcc.dri.edu/cgi-bin/cliMAIN.pl?calacc" TargetMode="External"/><Relationship Id="rId18" Type="http://schemas.openxmlformats.org/officeDocument/2006/relationships/chart" Target="charts/chart6.xml"/><Relationship Id="rId39" Type="http://schemas.openxmlformats.org/officeDocument/2006/relationships/hyperlink" Target="http://en.wikipedia.org/wiki/Normal_distributi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3772241992882616"/>
          <c:y val="2.1276595744680847E-2"/>
        </c:manualLayout>
      </c:layout>
      <c:spPr>
        <a:noFill/>
        <a:ln w="25398">
          <a:noFill/>
        </a:ln>
      </c:spPr>
      <c:txPr>
        <a:bodyPr/>
        <a:lstStyle/>
        <a:p>
          <a:pPr>
            <a:defRPr sz="550" b="0" i="0" u="none" strike="noStrike" baseline="0">
              <a:solidFill>
                <a:srgbClr val="000000"/>
              </a:solidFill>
              <a:latin typeface="Arial"/>
              <a:ea typeface="Arial"/>
              <a:cs typeface="Arial"/>
            </a:defRPr>
          </a:pPr>
          <a:endParaRPr lang="en-US"/>
        </a:p>
      </c:txPr>
    </c:title>
    <c:plotArea>
      <c:layout>
        <c:manualLayout>
          <c:layoutTarget val="inner"/>
          <c:xMode val="edge"/>
          <c:yMode val="edge"/>
          <c:x val="4.2704626334519651E-2"/>
          <c:y val="0.21276595744680876"/>
          <c:w val="0.93950177935943069"/>
          <c:h val="0.63297872340425565"/>
        </c:manualLayout>
      </c:layout>
      <c:lineChart>
        <c:grouping val="standard"/>
        <c:ser>
          <c:idx val="0"/>
          <c:order val="0"/>
          <c:tx>
            <c:strRef>
              <c:f>Outline!$C$88</c:f>
              <c:strCache>
                <c:ptCount val="1"/>
                <c:pt idx="0">
                  <c:v>Average Tempreture</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Outline!$D$85:$O$85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Outline!$D$88:$O$88</c:f>
              <c:numCache>
                <c:formatCode>General</c:formatCode>
                <c:ptCount val="12"/>
                <c:pt idx="0">
                  <c:v>72.241935483871089</c:v>
                </c:pt>
                <c:pt idx="1">
                  <c:v>72.870967741935502</c:v>
                </c:pt>
                <c:pt idx="2">
                  <c:v>71.61666666666666</c:v>
                </c:pt>
                <c:pt idx="3">
                  <c:v>67.790322580645167</c:v>
                </c:pt>
                <c:pt idx="4">
                  <c:v>63.083333333333329</c:v>
                </c:pt>
                <c:pt idx="5">
                  <c:v>58.258064516129039</c:v>
                </c:pt>
                <c:pt idx="6">
                  <c:v>57.112903225806448</c:v>
                </c:pt>
                <c:pt idx="7">
                  <c:v>58.155172413793096</c:v>
                </c:pt>
                <c:pt idx="8">
                  <c:v>59.774193548387103</c:v>
                </c:pt>
                <c:pt idx="9">
                  <c:v>61.849999999999994</c:v>
                </c:pt>
                <c:pt idx="10">
                  <c:v>64.306451612903189</c:v>
                </c:pt>
                <c:pt idx="11">
                  <c:v>67.916666666666757</c:v>
                </c:pt>
              </c:numCache>
            </c:numRef>
          </c:val>
          <c:smooth val="1"/>
        </c:ser>
        <c:marker val="1"/>
        <c:axId val="87032192"/>
        <c:axId val="87034112"/>
      </c:lineChart>
      <c:catAx>
        <c:axId val="87032192"/>
        <c:scaling>
          <c:orientation val="minMax"/>
        </c:scaling>
        <c:axPos val="b"/>
        <c:numFmt formatCode="mmm\-yy"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87034112"/>
        <c:crosses val="autoZero"/>
        <c:auto val="1"/>
        <c:lblAlgn val="ctr"/>
        <c:lblOffset val="100"/>
        <c:tickLblSkip val="1"/>
        <c:tickMarkSkip val="1"/>
      </c:catAx>
      <c:valAx>
        <c:axId val="87034112"/>
        <c:scaling>
          <c:orientation val="minMax"/>
          <c:min val="4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87032192"/>
        <c:crosses val="autoZero"/>
        <c:crossBetween val="between"/>
      </c:valAx>
      <c:spPr>
        <a:no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477351916376307"/>
          <c:y val="1.8518518518518538E-2"/>
        </c:manualLayout>
      </c:layout>
      <c:spPr>
        <a:noFill/>
        <a:ln w="25398">
          <a:noFill/>
        </a:ln>
      </c:spPr>
      <c:txPr>
        <a:bodyPr/>
        <a:lstStyle/>
        <a:p>
          <a:pPr>
            <a:defRPr sz="575" b="0" i="0" u="none" strike="noStrike" baseline="0">
              <a:solidFill>
                <a:srgbClr val="000000"/>
              </a:solidFill>
              <a:latin typeface="Arial"/>
              <a:ea typeface="Arial"/>
              <a:cs typeface="Arial"/>
            </a:defRPr>
          </a:pPr>
          <a:endParaRPr lang="en-US"/>
        </a:p>
      </c:txPr>
    </c:title>
    <c:plotArea>
      <c:layout>
        <c:manualLayout>
          <c:layoutTarget val="inner"/>
          <c:xMode val="edge"/>
          <c:yMode val="edge"/>
          <c:x val="5.7491289198606375E-2"/>
          <c:y val="0.23456790123456789"/>
          <c:w val="0.92508710801393657"/>
          <c:h val="0.58641975308641958"/>
        </c:manualLayout>
      </c:layout>
      <c:lineChart>
        <c:grouping val="standard"/>
        <c:ser>
          <c:idx val="0"/>
          <c:order val="0"/>
          <c:tx>
            <c:strRef>
              <c:f>Outline!$C$37</c:f>
              <c:strCache>
                <c:ptCount val="1"/>
                <c:pt idx="0">
                  <c:v>CA Commercial</c:v>
                </c:pt>
              </c:strCache>
            </c:strRef>
          </c:tx>
          <c:spPr>
            <a:ln w="12699">
              <a:solidFill>
                <a:srgbClr val="3366FF"/>
              </a:solidFill>
              <a:prstDash val="solid"/>
            </a:ln>
          </c:spPr>
          <c:marker>
            <c:symbol val="diamond"/>
            <c:size val="4"/>
            <c:spPr>
              <a:solidFill>
                <a:srgbClr val="000080"/>
              </a:solidFill>
              <a:ln>
                <a:solidFill>
                  <a:srgbClr val="000080"/>
                </a:solidFill>
                <a:prstDash val="solid"/>
              </a:ln>
            </c:spPr>
          </c:marker>
          <c:cat>
            <c:strRef>
              <c:f>Outline!$D$36:$O$36</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Outline!$D$37:$O$37</c:f>
              <c:numCache>
                <c:formatCode>0%</c:formatCode>
                <c:ptCount val="12"/>
                <c:pt idx="0">
                  <c:v>0.33090834788710194</c:v>
                </c:pt>
                <c:pt idx="1">
                  <c:v>0.33938596559116552</c:v>
                </c:pt>
                <c:pt idx="2">
                  <c:v>0.31271040477520573</c:v>
                </c:pt>
                <c:pt idx="3">
                  <c:v>0.34410490465651239</c:v>
                </c:pt>
                <c:pt idx="4">
                  <c:v>0.30492849406735917</c:v>
                </c:pt>
                <c:pt idx="5">
                  <c:v>0.31855797821557608</c:v>
                </c:pt>
                <c:pt idx="6">
                  <c:v>0.32154578705059778</c:v>
                </c:pt>
                <c:pt idx="7">
                  <c:v>0.3371175244975389</c:v>
                </c:pt>
                <c:pt idx="8">
                  <c:v>0.35514135401667429</c:v>
                </c:pt>
                <c:pt idx="9">
                  <c:v>0.34736978491837306</c:v>
                </c:pt>
                <c:pt idx="10">
                  <c:v>0.33239035591274463</c:v>
                </c:pt>
                <c:pt idx="11">
                  <c:v>0.3254351834303818</c:v>
                </c:pt>
              </c:numCache>
            </c:numRef>
          </c:val>
          <c:smooth val="1"/>
        </c:ser>
        <c:marker val="1"/>
        <c:axId val="87260544"/>
        <c:axId val="87879040"/>
      </c:lineChart>
      <c:catAx>
        <c:axId val="87260544"/>
        <c:scaling>
          <c:orientation val="minMax"/>
        </c:scaling>
        <c:axPos val="b"/>
        <c:numFmt formatCode="mmm\-yy"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87879040"/>
        <c:crosses val="autoZero"/>
        <c:auto val="1"/>
        <c:lblAlgn val="ctr"/>
        <c:lblOffset val="100"/>
        <c:tickLblSkip val="1"/>
        <c:tickMarkSkip val="1"/>
      </c:catAx>
      <c:valAx>
        <c:axId val="87879040"/>
        <c:scaling>
          <c:orientation val="minMax"/>
        </c:scaling>
        <c:axPos val="l"/>
        <c:majorGridlines>
          <c:spPr>
            <a:ln w="3175">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87260544"/>
        <c:crosses val="autoZero"/>
        <c:crossBetween val="between"/>
      </c:valAx>
      <c:spPr>
        <a:solidFill>
          <a:srgbClr val="FFFFFF"/>
        </a:solidFill>
        <a:ln w="12699">
          <a:solidFill>
            <a:srgbClr val="C0C0C0"/>
          </a:solidFill>
          <a:prstDash val="solid"/>
        </a:ln>
      </c:spPr>
    </c:plotArea>
    <c:plotVisOnly val="1"/>
    <c:dispBlanksAs val="gap"/>
  </c:chart>
  <c:spPr>
    <a:solidFill>
      <a:srgbClr val="FFFFFF"/>
    </a:solidFill>
    <a:ln w="3175">
      <a:solidFill>
        <a:srgbClr val="000000"/>
      </a:solidFill>
      <a:prstDash val="solid"/>
    </a:ln>
  </c:spPr>
  <c:txPr>
    <a:bodyPr/>
    <a:lstStyle/>
    <a:p>
      <a:pPr>
        <a:defRPr sz="4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747330960854258E-2"/>
          <c:y val="6.269592476489029E-2"/>
          <c:w val="0.86298932384341664"/>
          <c:h val="0.61442006269592475"/>
        </c:manualLayout>
      </c:layout>
      <c:lineChart>
        <c:grouping val="standard"/>
        <c:ser>
          <c:idx val="1"/>
          <c:order val="1"/>
          <c:tx>
            <c:strRef>
              <c:f>'Temp-&gt;Flu'!$C$1</c:f>
              <c:strCache>
                <c:ptCount val="1"/>
                <c:pt idx="0">
                  <c:v>Temreture</c:v>
                </c:pt>
              </c:strCache>
            </c:strRef>
          </c:tx>
          <c:spPr>
            <a:ln w="12699">
              <a:solidFill>
                <a:srgbClr val="FF00FF"/>
              </a:solidFill>
              <a:prstDash val="solid"/>
            </a:ln>
          </c:spPr>
          <c:marker>
            <c:symbol val="diamond"/>
            <c:size val="4"/>
            <c:spPr>
              <a:solidFill>
                <a:srgbClr val="FF00FF"/>
              </a:solidFill>
              <a:ln>
                <a:solidFill>
                  <a:srgbClr val="FF00FF"/>
                </a:solidFill>
                <a:prstDash val="solid"/>
              </a:ln>
            </c:spPr>
          </c:marker>
          <c:trendline>
            <c:spPr>
              <a:ln w="25399">
                <a:solidFill>
                  <a:srgbClr val="000000"/>
                </a:solidFill>
                <a:prstDash val="solid"/>
              </a:ln>
            </c:spPr>
            <c:trendlineType val="movingAvg"/>
            <c:period val="2"/>
          </c:trendline>
          <c:cat>
            <c:strRef>
              <c:f>'Temp-&gt;Flu'!$A$2:$A$138</c:f>
              <c:strCache>
                <c:ptCount val="137"/>
                <c:pt idx="0">
                  <c:v>2005-40</c:v>
                </c:pt>
                <c:pt idx="1">
                  <c:v>2005-41</c:v>
                </c:pt>
                <c:pt idx="2">
                  <c:v>2005-42</c:v>
                </c:pt>
                <c:pt idx="3">
                  <c:v>2005-43</c:v>
                </c:pt>
                <c:pt idx="4">
                  <c:v>2005-44</c:v>
                </c:pt>
                <c:pt idx="5">
                  <c:v>2005-45</c:v>
                </c:pt>
                <c:pt idx="6">
                  <c:v>2005-46</c:v>
                </c:pt>
                <c:pt idx="7">
                  <c:v>2005-47</c:v>
                </c:pt>
                <c:pt idx="8">
                  <c:v>2005-48</c:v>
                </c:pt>
                <c:pt idx="9">
                  <c:v>2005-49</c:v>
                </c:pt>
                <c:pt idx="10">
                  <c:v>2005-50</c:v>
                </c:pt>
                <c:pt idx="11">
                  <c:v>2005-51</c:v>
                </c:pt>
                <c:pt idx="12">
                  <c:v>2005-52</c:v>
                </c:pt>
                <c:pt idx="13">
                  <c:v>2006-01</c:v>
                </c:pt>
                <c:pt idx="14">
                  <c:v>2006-02</c:v>
                </c:pt>
                <c:pt idx="15">
                  <c:v>2006-03</c:v>
                </c:pt>
                <c:pt idx="16">
                  <c:v>2006-04</c:v>
                </c:pt>
                <c:pt idx="17">
                  <c:v>2006-05</c:v>
                </c:pt>
                <c:pt idx="18">
                  <c:v>2006-06</c:v>
                </c:pt>
                <c:pt idx="19">
                  <c:v>2006-07</c:v>
                </c:pt>
                <c:pt idx="20">
                  <c:v>2006-08</c:v>
                </c:pt>
                <c:pt idx="21">
                  <c:v>2006-09</c:v>
                </c:pt>
                <c:pt idx="22">
                  <c:v>2006-10</c:v>
                </c:pt>
                <c:pt idx="23">
                  <c:v>2006-11</c:v>
                </c:pt>
                <c:pt idx="24">
                  <c:v>2006-12</c:v>
                </c:pt>
                <c:pt idx="25">
                  <c:v>2006-13</c:v>
                </c:pt>
                <c:pt idx="26">
                  <c:v>2006-14</c:v>
                </c:pt>
                <c:pt idx="27">
                  <c:v>2006-15</c:v>
                </c:pt>
                <c:pt idx="28">
                  <c:v>2006-16</c:v>
                </c:pt>
                <c:pt idx="29">
                  <c:v>2006-17</c:v>
                </c:pt>
                <c:pt idx="30">
                  <c:v>2006-18</c:v>
                </c:pt>
                <c:pt idx="31">
                  <c:v>2006-19</c:v>
                </c:pt>
                <c:pt idx="32">
                  <c:v>2006-20</c:v>
                </c:pt>
                <c:pt idx="33">
                  <c:v>2006-21</c:v>
                </c:pt>
                <c:pt idx="34">
                  <c:v>2006-22</c:v>
                </c:pt>
                <c:pt idx="35">
                  <c:v>2006-23</c:v>
                </c:pt>
                <c:pt idx="36">
                  <c:v>2006-24</c:v>
                </c:pt>
                <c:pt idx="37">
                  <c:v>2006-25</c:v>
                </c:pt>
                <c:pt idx="38">
                  <c:v>2006-26</c:v>
                </c:pt>
                <c:pt idx="39">
                  <c:v>2006-27</c:v>
                </c:pt>
                <c:pt idx="40">
                  <c:v>2006-28</c:v>
                </c:pt>
                <c:pt idx="41">
                  <c:v>2006-29</c:v>
                </c:pt>
                <c:pt idx="42">
                  <c:v>2006-30</c:v>
                </c:pt>
                <c:pt idx="43">
                  <c:v>2006-31</c:v>
                </c:pt>
                <c:pt idx="44">
                  <c:v>2006-32</c:v>
                </c:pt>
                <c:pt idx="45">
                  <c:v>2006-33</c:v>
                </c:pt>
                <c:pt idx="46">
                  <c:v>2006-34</c:v>
                </c:pt>
                <c:pt idx="47">
                  <c:v>2006-35</c:v>
                </c:pt>
                <c:pt idx="48">
                  <c:v>2006-36</c:v>
                </c:pt>
                <c:pt idx="49">
                  <c:v>2006-37</c:v>
                </c:pt>
                <c:pt idx="50">
                  <c:v>2006-38</c:v>
                </c:pt>
                <c:pt idx="51">
                  <c:v>2006-39</c:v>
                </c:pt>
                <c:pt idx="52">
                  <c:v>2006-40</c:v>
                </c:pt>
                <c:pt idx="53">
                  <c:v>2006-41</c:v>
                </c:pt>
                <c:pt idx="54">
                  <c:v>2006-42</c:v>
                </c:pt>
                <c:pt idx="55">
                  <c:v>2006-43</c:v>
                </c:pt>
                <c:pt idx="56">
                  <c:v>2006-44</c:v>
                </c:pt>
                <c:pt idx="57">
                  <c:v>2006-45</c:v>
                </c:pt>
                <c:pt idx="58">
                  <c:v>2006-46</c:v>
                </c:pt>
                <c:pt idx="59">
                  <c:v>2006-47</c:v>
                </c:pt>
                <c:pt idx="60">
                  <c:v>2006-48</c:v>
                </c:pt>
                <c:pt idx="61">
                  <c:v>2006-49</c:v>
                </c:pt>
                <c:pt idx="62">
                  <c:v>2006-50</c:v>
                </c:pt>
                <c:pt idx="63">
                  <c:v>2006-51</c:v>
                </c:pt>
                <c:pt idx="64">
                  <c:v>2006-52</c:v>
                </c:pt>
                <c:pt idx="65">
                  <c:v>2007-01</c:v>
                </c:pt>
                <c:pt idx="66">
                  <c:v>2007-02</c:v>
                </c:pt>
                <c:pt idx="67">
                  <c:v>2007-03</c:v>
                </c:pt>
                <c:pt idx="68">
                  <c:v>2007-04</c:v>
                </c:pt>
                <c:pt idx="69">
                  <c:v>2007-05</c:v>
                </c:pt>
                <c:pt idx="70">
                  <c:v>2007-06</c:v>
                </c:pt>
                <c:pt idx="71">
                  <c:v>2007-07</c:v>
                </c:pt>
                <c:pt idx="72">
                  <c:v>2007-08</c:v>
                </c:pt>
                <c:pt idx="73">
                  <c:v>2007-09</c:v>
                </c:pt>
                <c:pt idx="74">
                  <c:v>2007-10</c:v>
                </c:pt>
                <c:pt idx="75">
                  <c:v>2007-11</c:v>
                </c:pt>
                <c:pt idx="76">
                  <c:v>2007-12</c:v>
                </c:pt>
                <c:pt idx="77">
                  <c:v>2007-13</c:v>
                </c:pt>
                <c:pt idx="78">
                  <c:v>2007-14</c:v>
                </c:pt>
                <c:pt idx="79">
                  <c:v>2007-15</c:v>
                </c:pt>
                <c:pt idx="80">
                  <c:v>2007-16</c:v>
                </c:pt>
                <c:pt idx="81">
                  <c:v>2007-17</c:v>
                </c:pt>
                <c:pt idx="82">
                  <c:v>2007-18</c:v>
                </c:pt>
                <c:pt idx="83">
                  <c:v>2007-19</c:v>
                </c:pt>
                <c:pt idx="84">
                  <c:v>2007-20</c:v>
                </c:pt>
                <c:pt idx="85">
                  <c:v>2007-21</c:v>
                </c:pt>
                <c:pt idx="86">
                  <c:v>2007-22</c:v>
                </c:pt>
                <c:pt idx="87">
                  <c:v>2007-23</c:v>
                </c:pt>
                <c:pt idx="88">
                  <c:v>2007-24</c:v>
                </c:pt>
                <c:pt idx="89">
                  <c:v>2007-25</c:v>
                </c:pt>
                <c:pt idx="90">
                  <c:v>2007-26</c:v>
                </c:pt>
                <c:pt idx="91">
                  <c:v>2007-27</c:v>
                </c:pt>
                <c:pt idx="92">
                  <c:v>2007-28</c:v>
                </c:pt>
                <c:pt idx="93">
                  <c:v>2007-29</c:v>
                </c:pt>
                <c:pt idx="94">
                  <c:v>2007-30</c:v>
                </c:pt>
                <c:pt idx="95">
                  <c:v>2007-31</c:v>
                </c:pt>
                <c:pt idx="96">
                  <c:v>2007-32</c:v>
                </c:pt>
                <c:pt idx="97">
                  <c:v>2007-33</c:v>
                </c:pt>
                <c:pt idx="98">
                  <c:v>2007-34</c:v>
                </c:pt>
                <c:pt idx="99">
                  <c:v>2007-35</c:v>
                </c:pt>
                <c:pt idx="100">
                  <c:v>2007-36</c:v>
                </c:pt>
                <c:pt idx="101">
                  <c:v>2007-37</c:v>
                </c:pt>
                <c:pt idx="102">
                  <c:v>2007-38</c:v>
                </c:pt>
                <c:pt idx="103">
                  <c:v>2007-39</c:v>
                </c:pt>
                <c:pt idx="104">
                  <c:v>2007-40</c:v>
                </c:pt>
                <c:pt idx="105">
                  <c:v>2007-41</c:v>
                </c:pt>
                <c:pt idx="106">
                  <c:v>2007-42</c:v>
                </c:pt>
                <c:pt idx="107">
                  <c:v>2007-43</c:v>
                </c:pt>
                <c:pt idx="108">
                  <c:v>2007-44</c:v>
                </c:pt>
                <c:pt idx="109">
                  <c:v>2007-45</c:v>
                </c:pt>
                <c:pt idx="110">
                  <c:v>2007-46</c:v>
                </c:pt>
                <c:pt idx="111">
                  <c:v>2007-47</c:v>
                </c:pt>
                <c:pt idx="112">
                  <c:v>2007-48</c:v>
                </c:pt>
                <c:pt idx="113">
                  <c:v>2007-49</c:v>
                </c:pt>
                <c:pt idx="114">
                  <c:v>2007-50</c:v>
                </c:pt>
                <c:pt idx="115">
                  <c:v>2007-51</c:v>
                </c:pt>
                <c:pt idx="116">
                  <c:v>2007-52</c:v>
                </c:pt>
                <c:pt idx="117">
                  <c:v>2008-01</c:v>
                </c:pt>
                <c:pt idx="118">
                  <c:v>2008-02</c:v>
                </c:pt>
                <c:pt idx="119">
                  <c:v>2008-03</c:v>
                </c:pt>
                <c:pt idx="120">
                  <c:v>2008-04</c:v>
                </c:pt>
                <c:pt idx="121">
                  <c:v>2008-05</c:v>
                </c:pt>
                <c:pt idx="122">
                  <c:v>2008-06</c:v>
                </c:pt>
                <c:pt idx="123">
                  <c:v>2008-07</c:v>
                </c:pt>
                <c:pt idx="124">
                  <c:v>2008-08</c:v>
                </c:pt>
                <c:pt idx="125">
                  <c:v>2008-09</c:v>
                </c:pt>
                <c:pt idx="126">
                  <c:v>2008-10</c:v>
                </c:pt>
                <c:pt idx="127">
                  <c:v>2008-11</c:v>
                </c:pt>
                <c:pt idx="128">
                  <c:v>2008-12</c:v>
                </c:pt>
                <c:pt idx="129">
                  <c:v>2008-13</c:v>
                </c:pt>
                <c:pt idx="130">
                  <c:v>2008-14</c:v>
                </c:pt>
                <c:pt idx="131">
                  <c:v>2008-15</c:v>
                </c:pt>
                <c:pt idx="132">
                  <c:v>2008-16</c:v>
                </c:pt>
                <c:pt idx="133">
                  <c:v>2008-17</c:v>
                </c:pt>
                <c:pt idx="134">
                  <c:v>2008-18</c:v>
                </c:pt>
                <c:pt idx="135">
                  <c:v>2008-19</c:v>
                </c:pt>
                <c:pt idx="136">
                  <c:v>2008-20</c:v>
                </c:pt>
              </c:strCache>
            </c:strRef>
          </c:cat>
          <c:val>
            <c:numRef>
              <c:f>'Temp-&gt;Flu'!$C$2:$C$138</c:f>
              <c:numCache>
                <c:formatCode>0.00</c:formatCode>
                <c:ptCount val="137"/>
                <c:pt idx="0">
                  <c:v>69.585714285714303</c:v>
                </c:pt>
                <c:pt idx="1">
                  <c:v>67.685714285714283</c:v>
                </c:pt>
                <c:pt idx="2">
                  <c:v>65.285714285714292</c:v>
                </c:pt>
                <c:pt idx="3">
                  <c:v>61.828571428571493</c:v>
                </c:pt>
                <c:pt idx="4">
                  <c:v>61.471428571428497</c:v>
                </c:pt>
                <c:pt idx="5">
                  <c:v>64.3</c:v>
                </c:pt>
                <c:pt idx="6">
                  <c:v>61.0571428571428</c:v>
                </c:pt>
                <c:pt idx="7">
                  <c:v>65.214285714285722</c:v>
                </c:pt>
                <c:pt idx="8">
                  <c:v>65.142857142856954</c:v>
                </c:pt>
                <c:pt idx="9">
                  <c:v>58.885714285714236</c:v>
                </c:pt>
                <c:pt idx="10">
                  <c:v>59.385714285714229</c:v>
                </c:pt>
                <c:pt idx="11">
                  <c:v>56.257142857142846</c:v>
                </c:pt>
                <c:pt idx="12">
                  <c:v>60.842857142857142</c:v>
                </c:pt>
                <c:pt idx="13">
                  <c:v>61.714285714285708</c:v>
                </c:pt>
                <c:pt idx="14">
                  <c:v>57.871428571428474</c:v>
                </c:pt>
                <c:pt idx="15">
                  <c:v>55.414285714285704</c:v>
                </c:pt>
                <c:pt idx="16">
                  <c:v>58.457142857142792</c:v>
                </c:pt>
                <c:pt idx="17">
                  <c:v>55.885714285714236</c:v>
                </c:pt>
                <c:pt idx="18">
                  <c:v>62.300000000000004</c:v>
                </c:pt>
                <c:pt idx="19">
                  <c:v>58.857142857142783</c:v>
                </c:pt>
                <c:pt idx="20">
                  <c:v>53.942857142857143</c:v>
                </c:pt>
                <c:pt idx="21">
                  <c:v>56.571428571428498</c:v>
                </c:pt>
                <c:pt idx="22">
                  <c:v>54.114285714285707</c:v>
                </c:pt>
                <c:pt idx="23">
                  <c:v>52.357142857142769</c:v>
                </c:pt>
                <c:pt idx="24">
                  <c:v>55.6</c:v>
                </c:pt>
                <c:pt idx="25">
                  <c:v>56.185714285714297</c:v>
                </c:pt>
                <c:pt idx="26">
                  <c:v>57.085714285714275</c:v>
                </c:pt>
                <c:pt idx="27">
                  <c:v>59.128571428571526</c:v>
                </c:pt>
                <c:pt idx="28">
                  <c:v>59.957142857142792</c:v>
                </c:pt>
                <c:pt idx="29">
                  <c:v>59.042857142857137</c:v>
                </c:pt>
                <c:pt idx="30">
                  <c:v>60.957142857142792</c:v>
                </c:pt>
                <c:pt idx="31">
                  <c:v>61.828571428571486</c:v>
                </c:pt>
                <c:pt idx="32">
                  <c:v>63.942857142857143</c:v>
                </c:pt>
                <c:pt idx="33">
                  <c:v>64.785714285714292</c:v>
                </c:pt>
                <c:pt idx="34">
                  <c:v>66.7</c:v>
                </c:pt>
                <c:pt idx="35">
                  <c:v>67.828571428571209</c:v>
                </c:pt>
                <c:pt idx="36">
                  <c:v>68.185714285714283</c:v>
                </c:pt>
                <c:pt idx="37">
                  <c:v>66.842857142857014</c:v>
                </c:pt>
                <c:pt idx="38">
                  <c:v>69.314285714285703</c:v>
                </c:pt>
                <c:pt idx="39">
                  <c:v>71.457142857142841</c:v>
                </c:pt>
                <c:pt idx="40">
                  <c:v>70.600000000000009</c:v>
                </c:pt>
                <c:pt idx="41">
                  <c:v>73.671428571428365</c:v>
                </c:pt>
                <c:pt idx="42">
                  <c:v>76.885714285714286</c:v>
                </c:pt>
                <c:pt idx="43">
                  <c:v>72.014285714285705</c:v>
                </c:pt>
                <c:pt idx="44">
                  <c:v>71.342857142857028</c:v>
                </c:pt>
                <c:pt idx="45">
                  <c:v>68.428571428571388</c:v>
                </c:pt>
                <c:pt idx="46">
                  <c:v>69.028571428571269</c:v>
                </c:pt>
                <c:pt idx="47">
                  <c:v>69.314285714285717</c:v>
                </c:pt>
                <c:pt idx="48">
                  <c:v>70.371428571428396</c:v>
                </c:pt>
                <c:pt idx="49">
                  <c:v>66.099999999999994</c:v>
                </c:pt>
                <c:pt idx="50">
                  <c:v>67.857142857142819</c:v>
                </c:pt>
                <c:pt idx="51">
                  <c:v>66.542857142857088</c:v>
                </c:pt>
                <c:pt idx="52">
                  <c:v>65.085714285714303</c:v>
                </c:pt>
                <c:pt idx="53">
                  <c:v>64.257142857142853</c:v>
                </c:pt>
                <c:pt idx="54">
                  <c:v>65.414285714285725</c:v>
                </c:pt>
                <c:pt idx="55">
                  <c:v>65.714285714285722</c:v>
                </c:pt>
                <c:pt idx="56">
                  <c:v>61.842857142857149</c:v>
                </c:pt>
                <c:pt idx="57">
                  <c:v>67.3</c:v>
                </c:pt>
                <c:pt idx="58">
                  <c:v>62.828571428571486</c:v>
                </c:pt>
                <c:pt idx="59">
                  <c:v>62.757142857142846</c:v>
                </c:pt>
                <c:pt idx="60">
                  <c:v>56.9</c:v>
                </c:pt>
                <c:pt idx="61">
                  <c:v>59.9</c:v>
                </c:pt>
                <c:pt idx="62">
                  <c:v>57.985714285714245</c:v>
                </c:pt>
                <c:pt idx="63">
                  <c:v>52.5571428571428</c:v>
                </c:pt>
                <c:pt idx="64">
                  <c:v>57.614285714285714</c:v>
                </c:pt>
                <c:pt idx="65">
                  <c:v>55.342857142857149</c:v>
                </c:pt>
                <c:pt idx="66">
                  <c:v>58.02857142857151</c:v>
                </c:pt>
                <c:pt idx="67">
                  <c:v>50.085714285714275</c:v>
                </c:pt>
                <c:pt idx="68">
                  <c:v>54.814285714285724</c:v>
                </c:pt>
                <c:pt idx="69">
                  <c:v>54.585714285714275</c:v>
                </c:pt>
                <c:pt idx="70">
                  <c:v>58.142857142857153</c:v>
                </c:pt>
                <c:pt idx="71">
                  <c:v>58.771428571428544</c:v>
                </c:pt>
                <c:pt idx="72">
                  <c:v>56.814285714285624</c:v>
                </c:pt>
                <c:pt idx="73">
                  <c:v>54.9</c:v>
                </c:pt>
                <c:pt idx="74">
                  <c:v>61.071428571428498</c:v>
                </c:pt>
                <c:pt idx="75">
                  <c:v>60.457142857142792</c:v>
                </c:pt>
                <c:pt idx="76">
                  <c:v>58.414285714285704</c:v>
                </c:pt>
                <c:pt idx="77">
                  <c:v>58.085714285714275</c:v>
                </c:pt>
                <c:pt idx="78">
                  <c:v>58.657142857142844</c:v>
                </c:pt>
                <c:pt idx="79">
                  <c:v>60.614285714285714</c:v>
                </c:pt>
                <c:pt idx="80">
                  <c:v>56.871428571428474</c:v>
                </c:pt>
                <c:pt idx="81">
                  <c:v>59.742857142857162</c:v>
                </c:pt>
                <c:pt idx="82">
                  <c:v>60.428571428571495</c:v>
                </c:pt>
                <c:pt idx="83">
                  <c:v>65.028571428571254</c:v>
                </c:pt>
                <c:pt idx="84">
                  <c:v>58.971428571428497</c:v>
                </c:pt>
                <c:pt idx="85">
                  <c:v>60.214285714285715</c:v>
                </c:pt>
                <c:pt idx="86">
                  <c:v>60.857142857142783</c:v>
                </c:pt>
                <c:pt idx="87">
                  <c:v>61.428571428571495</c:v>
                </c:pt>
                <c:pt idx="88">
                  <c:v>63.714285714285715</c:v>
                </c:pt>
                <c:pt idx="89">
                  <c:v>64.742857142857119</c:v>
                </c:pt>
                <c:pt idx="90">
                  <c:v>66.257142857142853</c:v>
                </c:pt>
                <c:pt idx="91">
                  <c:v>68.857142857142819</c:v>
                </c:pt>
                <c:pt idx="92">
                  <c:v>67.785714285714292</c:v>
                </c:pt>
                <c:pt idx="93">
                  <c:v>68.071428571428442</c:v>
                </c:pt>
                <c:pt idx="94">
                  <c:v>70.328571428571209</c:v>
                </c:pt>
                <c:pt idx="95">
                  <c:v>69.571428571428442</c:v>
                </c:pt>
                <c:pt idx="96">
                  <c:v>68.714285714285722</c:v>
                </c:pt>
                <c:pt idx="97">
                  <c:v>72.128571428571249</c:v>
                </c:pt>
                <c:pt idx="98">
                  <c:v>69.8</c:v>
                </c:pt>
                <c:pt idx="99">
                  <c:v>71.285714285714292</c:v>
                </c:pt>
                <c:pt idx="100">
                  <c:v>72.585714285714303</c:v>
                </c:pt>
                <c:pt idx="101">
                  <c:v>67.400000000000006</c:v>
                </c:pt>
                <c:pt idx="102">
                  <c:v>64.628571428571234</c:v>
                </c:pt>
                <c:pt idx="103">
                  <c:v>65.485714285714295</c:v>
                </c:pt>
                <c:pt idx="104">
                  <c:v>65.614285714285728</c:v>
                </c:pt>
                <c:pt idx="105">
                  <c:v>63.871428571428467</c:v>
                </c:pt>
                <c:pt idx="106">
                  <c:v>62.814285714285624</c:v>
                </c:pt>
                <c:pt idx="107">
                  <c:v>71.657142857142759</c:v>
                </c:pt>
                <c:pt idx="108">
                  <c:v>63.257142857142846</c:v>
                </c:pt>
                <c:pt idx="109">
                  <c:v>59</c:v>
                </c:pt>
                <c:pt idx="110">
                  <c:v>65.385714285714286</c:v>
                </c:pt>
                <c:pt idx="111">
                  <c:v>58.442857142857143</c:v>
                </c:pt>
                <c:pt idx="112">
                  <c:v>61.157142857142844</c:v>
                </c:pt>
                <c:pt idx="113">
                  <c:v>57.485714285714245</c:v>
                </c:pt>
                <c:pt idx="114">
                  <c:v>54.614285714285707</c:v>
                </c:pt>
                <c:pt idx="115">
                  <c:v>55.385714285714236</c:v>
                </c:pt>
                <c:pt idx="116">
                  <c:v>56.02857142857151</c:v>
                </c:pt>
                <c:pt idx="117">
                  <c:v>58.785714285714285</c:v>
                </c:pt>
                <c:pt idx="118">
                  <c:v>54.214285714285708</c:v>
                </c:pt>
                <c:pt idx="119">
                  <c:v>57.257142857142846</c:v>
                </c:pt>
                <c:pt idx="120">
                  <c:v>53.1</c:v>
                </c:pt>
                <c:pt idx="121">
                  <c:v>54</c:v>
                </c:pt>
                <c:pt idx="122">
                  <c:v>54.885714285714229</c:v>
                </c:pt>
                <c:pt idx="123">
                  <c:v>57.68571428571429</c:v>
                </c:pt>
                <c:pt idx="124">
                  <c:v>54.4</c:v>
                </c:pt>
                <c:pt idx="125">
                  <c:v>58.228571428571534</c:v>
                </c:pt>
                <c:pt idx="126">
                  <c:v>58.071428571428513</c:v>
                </c:pt>
                <c:pt idx="127">
                  <c:v>61.457142857142792</c:v>
                </c:pt>
                <c:pt idx="128">
                  <c:v>58.428571428571495</c:v>
                </c:pt>
                <c:pt idx="129">
                  <c:v>61.642857142857153</c:v>
                </c:pt>
                <c:pt idx="130">
                  <c:v>55.971428571428497</c:v>
                </c:pt>
                <c:pt idx="131">
                  <c:v>59.814285714285617</c:v>
                </c:pt>
                <c:pt idx="132">
                  <c:v>64.128571428571234</c:v>
                </c:pt>
                <c:pt idx="133">
                  <c:v>60.885714285714236</c:v>
                </c:pt>
                <c:pt idx="134">
                  <c:v>68.100000000000009</c:v>
                </c:pt>
                <c:pt idx="135">
                  <c:v>60.442857142857143</c:v>
                </c:pt>
                <c:pt idx="136">
                  <c:v>65.471428571428518</c:v>
                </c:pt>
              </c:numCache>
            </c:numRef>
          </c:val>
          <c:smooth val="1"/>
        </c:ser>
        <c:marker val="1"/>
        <c:axId val="89686016"/>
        <c:axId val="89688320"/>
      </c:lineChart>
      <c:lineChart>
        <c:grouping val="standard"/>
        <c:ser>
          <c:idx val="0"/>
          <c:order val="0"/>
          <c:tx>
            <c:strRef>
              <c:f>'Temp-&gt;Flu'!$B$1</c:f>
              <c:strCache>
                <c:ptCount val="1"/>
                <c:pt idx="0">
                  <c:v>%ILI from Sentinel Providers</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trendline>
            <c:spPr>
              <a:ln w="25399">
                <a:solidFill>
                  <a:srgbClr val="000000"/>
                </a:solidFill>
                <a:prstDash val="solid"/>
              </a:ln>
            </c:spPr>
            <c:trendlineType val="movingAvg"/>
            <c:period val="2"/>
          </c:trendline>
          <c:cat>
            <c:strRef>
              <c:f>'Temp-&gt;Flu'!$A$2:$A$138</c:f>
              <c:strCache>
                <c:ptCount val="137"/>
                <c:pt idx="0">
                  <c:v>2005-40</c:v>
                </c:pt>
                <c:pt idx="1">
                  <c:v>2005-41</c:v>
                </c:pt>
                <c:pt idx="2">
                  <c:v>2005-42</c:v>
                </c:pt>
                <c:pt idx="3">
                  <c:v>2005-43</c:v>
                </c:pt>
                <c:pt idx="4">
                  <c:v>2005-44</c:v>
                </c:pt>
                <c:pt idx="5">
                  <c:v>2005-45</c:v>
                </c:pt>
                <c:pt idx="6">
                  <c:v>2005-46</c:v>
                </c:pt>
                <c:pt idx="7">
                  <c:v>2005-47</c:v>
                </c:pt>
                <c:pt idx="8">
                  <c:v>2005-48</c:v>
                </c:pt>
                <c:pt idx="9">
                  <c:v>2005-49</c:v>
                </c:pt>
                <c:pt idx="10">
                  <c:v>2005-50</c:v>
                </c:pt>
                <c:pt idx="11">
                  <c:v>2005-51</c:v>
                </c:pt>
                <c:pt idx="12">
                  <c:v>2005-52</c:v>
                </c:pt>
                <c:pt idx="13">
                  <c:v>2006-01</c:v>
                </c:pt>
                <c:pt idx="14">
                  <c:v>2006-02</c:v>
                </c:pt>
                <c:pt idx="15">
                  <c:v>2006-03</c:v>
                </c:pt>
                <c:pt idx="16">
                  <c:v>2006-04</c:v>
                </c:pt>
                <c:pt idx="17">
                  <c:v>2006-05</c:v>
                </c:pt>
                <c:pt idx="18">
                  <c:v>2006-06</c:v>
                </c:pt>
                <c:pt idx="19">
                  <c:v>2006-07</c:v>
                </c:pt>
                <c:pt idx="20">
                  <c:v>2006-08</c:v>
                </c:pt>
                <c:pt idx="21">
                  <c:v>2006-09</c:v>
                </c:pt>
                <c:pt idx="22">
                  <c:v>2006-10</c:v>
                </c:pt>
                <c:pt idx="23">
                  <c:v>2006-11</c:v>
                </c:pt>
                <c:pt idx="24">
                  <c:v>2006-12</c:v>
                </c:pt>
                <c:pt idx="25">
                  <c:v>2006-13</c:v>
                </c:pt>
                <c:pt idx="26">
                  <c:v>2006-14</c:v>
                </c:pt>
                <c:pt idx="27">
                  <c:v>2006-15</c:v>
                </c:pt>
                <c:pt idx="28">
                  <c:v>2006-16</c:v>
                </c:pt>
                <c:pt idx="29">
                  <c:v>2006-17</c:v>
                </c:pt>
                <c:pt idx="30">
                  <c:v>2006-18</c:v>
                </c:pt>
                <c:pt idx="31">
                  <c:v>2006-19</c:v>
                </c:pt>
                <c:pt idx="32">
                  <c:v>2006-20</c:v>
                </c:pt>
                <c:pt idx="33">
                  <c:v>2006-21</c:v>
                </c:pt>
                <c:pt idx="34">
                  <c:v>2006-22</c:v>
                </c:pt>
                <c:pt idx="35">
                  <c:v>2006-23</c:v>
                </c:pt>
                <c:pt idx="36">
                  <c:v>2006-24</c:v>
                </c:pt>
                <c:pt idx="37">
                  <c:v>2006-25</c:v>
                </c:pt>
                <c:pt idx="38">
                  <c:v>2006-26</c:v>
                </c:pt>
                <c:pt idx="39">
                  <c:v>2006-27</c:v>
                </c:pt>
                <c:pt idx="40">
                  <c:v>2006-28</c:v>
                </c:pt>
                <c:pt idx="41">
                  <c:v>2006-29</c:v>
                </c:pt>
                <c:pt idx="42">
                  <c:v>2006-30</c:v>
                </c:pt>
                <c:pt idx="43">
                  <c:v>2006-31</c:v>
                </c:pt>
                <c:pt idx="44">
                  <c:v>2006-32</c:v>
                </c:pt>
                <c:pt idx="45">
                  <c:v>2006-33</c:v>
                </c:pt>
                <c:pt idx="46">
                  <c:v>2006-34</c:v>
                </c:pt>
                <c:pt idx="47">
                  <c:v>2006-35</c:v>
                </c:pt>
                <c:pt idx="48">
                  <c:v>2006-36</c:v>
                </c:pt>
                <c:pt idx="49">
                  <c:v>2006-37</c:v>
                </c:pt>
                <c:pt idx="50">
                  <c:v>2006-38</c:v>
                </c:pt>
                <c:pt idx="51">
                  <c:v>2006-39</c:v>
                </c:pt>
                <c:pt idx="52">
                  <c:v>2006-40</c:v>
                </c:pt>
                <c:pt idx="53">
                  <c:v>2006-41</c:v>
                </c:pt>
                <c:pt idx="54">
                  <c:v>2006-42</c:v>
                </c:pt>
                <c:pt idx="55">
                  <c:v>2006-43</c:v>
                </c:pt>
                <c:pt idx="56">
                  <c:v>2006-44</c:v>
                </c:pt>
                <c:pt idx="57">
                  <c:v>2006-45</c:v>
                </c:pt>
                <c:pt idx="58">
                  <c:v>2006-46</c:v>
                </c:pt>
                <c:pt idx="59">
                  <c:v>2006-47</c:v>
                </c:pt>
                <c:pt idx="60">
                  <c:v>2006-48</c:v>
                </c:pt>
                <c:pt idx="61">
                  <c:v>2006-49</c:v>
                </c:pt>
                <c:pt idx="62">
                  <c:v>2006-50</c:v>
                </c:pt>
                <c:pt idx="63">
                  <c:v>2006-51</c:v>
                </c:pt>
                <c:pt idx="64">
                  <c:v>2006-52</c:v>
                </c:pt>
                <c:pt idx="65">
                  <c:v>2007-01</c:v>
                </c:pt>
                <c:pt idx="66">
                  <c:v>2007-02</c:v>
                </c:pt>
                <c:pt idx="67">
                  <c:v>2007-03</c:v>
                </c:pt>
                <c:pt idx="68">
                  <c:v>2007-04</c:v>
                </c:pt>
                <c:pt idx="69">
                  <c:v>2007-05</c:v>
                </c:pt>
                <c:pt idx="70">
                  <c:v>2007-06</c:v>
                </c:pt>
                <c:pt idx="71">
                  <c:v>2007-07</c:v>
                </c:pt>
                <c:pt idx="72">
                  <c:v>2007-08</c:v>
                </c:pt>
                <c:pt idx="73">
                  <c:v>2007-09</c:v>
                </c:pt>
                <c:pt idx="74">
                  <c:v>2007-10</c:v>
                </c:pt>
                <c:pt idx="75">
                  <c:v>2007-11</c:v>
                </c:pt>
                <c:pt idx="76">
                  <c:v>2007-12</c:v>
                </c:pt>
                <c:pt idx="77">
                  <c:v>2007-13</c:v>
                </c:pt>
                <c:pt idx="78">
                  <c:v>2007-14</c:v>
                </c:pt>
                <c:pt idx="79">
                  <c:v>2007-15</c:v>
                </c:pt>
                <c:pt idx="80">
                  <c:v>2007-16</c:v>
                </c:pt>
                <c:pt idx="81">
                  <c:v>2007-17</c:v>
                </c:pt>
                <c:pt idx="82">
                  <c:v>2007-18</c:v>
                </c:pt>
                <c:pt idx="83">
                  <c:v>2007-19</c:v>
                </c:pt>
                <c:pt idx="84">
                  <c:v>2007-20</c:v>
                </c:pt>
                <c:pt idx="85">
                  <c:v>2007-21</c:v>
                </c:pt>
                <c:pt idx="86">
                  <c:v>2007-22</c:v>
                </c:pt>
                <c:pt idx="87">
                  <c:v>2007-23</c:v>
                </c:pt>
                <c:pt idx="88">
                  <c:v>2007-24</c:v>
                </c:pt>
                <c:pt idx="89">
                  <c:v>2007-25</c:v>
                </c:pt>
                <c:pt idx="90">
                  <c:v>2007-26</c:v>
                </c:pt>
                <c:pt idx="91">
                  <c:v>2007-27</c:v>
                </c:pt>
                <c:pt idx="92">
                  <c:v>2007-28</c:v>
                </c:pt>
                <c:pt idx="93">
                  <c:v>2007-29</c:v>
                </c:pt>
                <c:pt idx="94">
                  <c:v>2007-30</c:v>
                </c:pt>
                <c:pt idx="95">
                  <c:v>2007-31</c:v>
                </c:pt>
                <c:pt idx="96">
                  <c:v>2007-32</c:v>
                </c:pt>
                <c:pt idx="97">
                  <c:v>2007-33</c:v>
                </c:pt>
                <c:pt idx="98">
                  <c:v>2007-34</c:v>
                </c:pt>
                <c:pt idx="99">
                  <c:v>2007-35</c:v>
                </c:pt>
                <c:pt idx="100">
                  <c:v>2007-36</c:v>
                </c:pt>
                <c:pt idx="101">
                  <c:v>2007-37</c:v>
                </c:pt>
                <c:pt idx="102">
                  <c:v>2007-38</c:v>
                </c:pt>
                <c:pt idx="103">
                  <c:v>2007-39</c:v>
                </c:pt>
                <c:pt idx="104">
                  <c:v>2007-40</c:v>
                </c:pt>
                <c:pt idx="105">
                  <c:v>2007-41</c:v>
                </c:pt>
                <c:pt idx="106">
                  <c:v>2007-42</c:v>
                </c:pt>
                <c:pt idx="107">
                  <c:v>2007-43</c:v>
                </c:pt>
                <c:pt idx="108">
                  <c:v>2007-44</c:v>
                </c:pt>
                <c:pt idx="109">
                  <c:v>2007-45</c:v>
                </c:pt>
                <c:pt idx="110">
                  <c:v>2007-46</c:v>
                </c:pt>
                <c:pt idx="111">
                  <c:v>2007-47</c:v>
                </c:pt>
                <c:pt idx="112">
                  <c:v>2007-48</c:v>
                </c:pt>
                <c:pt idx="113">
                  <c:v>2007-49</c:v>
                </c:pt>
                <c:pt idx="114">
                  <c:v>2007-50</c:v>
                </c:pt>
                <c:pt idx="115">
                  <c:v>2007-51</c:v>
                </c:pt>
                <c:pt idx="116">
                  <c:v>2007-52</c:v>
                </c:pt>
                <c:pt idx="117">
                  <c:v>2008-01</c:v>
                </c:pt>
                <c:pt idx="118">
                  <c:v>2008-02</c:v>
                </c:pt>
                <c:pt idx="119">
                  <c:v>2008-03</c:v>
                </c:pt>
                <c:pt idx="120">
                  <c:v>2008-04</c:v>
                </c:pt>
                <c:pt idx="121">
                  <c:v>2008-05</c:v>
                </c:pt>
                <c:pt idx="122">
                  <c:v>2008-06</c:v>
                </c:pt>
                <c:pt idx="123">
                  <c:v>2008-07</c:v>
                </c:pt>
                <c:pt idx="124">
                  <c:v>2008-08</c:v>
                </c:pt>
                <c:pt idx="125">
                  <c:v>2008-09</c:v>
                </c:pt>
                <c:pt idx="126">
                  <c:v>2008-10</c:v>
                </c:pt>
                <c:pt idx="127">
                  <c:v>2008-11</c:v>
                </c:pt>
                <c:pt idx="128">
                  <c:v>2008-12</c:v>
                </c:pt>
                <c:pt idx="129">
                  <c:v>2008-13</c:v>
                </c:pt>
                <c:pt idx="130">
                  <c:v>2008-14</c:v>
                </c:pt>
                <c:pt idx="131">
                  <c:v>2008-15</c:v>
                </c:pt>
                <c:pt idx="132">
                  <c:v>2008-16</c:v>
                </c:pt>
                <c:pt idx="133">
                  <c:v>2008-17</c:v>
                </c:pt>
                <c:pt idx="134">
                  <c:v>2008-18</c:v>
                </c:pt>
                <c:pt idx="135">
                  <c:v>2008-19</c:v>
                </c:pt>
                <c:pt idx="136">
                  <c:v>2008-20</c:v>
                </c:pt>
              </c:strCache>
            </c:strRef>
          </c:cat>
          <c:val>
            <c:numRef>
              <c:f>'Temp-&gt;Flu'!$B$2:$B$138</c:f>
              <c:numCache>
                <c:formatCode>General</c:formatCode>
                <c:ptCount val="137"/>
                <c:pt idx="0">
                  <c:v>1.2</c:v>
                </c:pt>
                <c:pt idx="1">
                  <c:v>1.218</c:v>
                </c:pt>
                <c:pt idx="2">
                  <c:v>1.298</c:v>
                </c:pt>
                <c:pt idx="3">
                  <c:v>1.345</c:v>
                </c:pt>
                <c:pt idx="4">
                  <c:v>1.5920000000000001</c:v>
                </c:pt>
                <c:pt idx="5">
                  <c:v>1.47</c:v>
                </c:pt>
                <c:pt idx="6">
                  <c:v>1.6080000000000001</c:v>
                </c:pt>
                <c:pt idx="7">
                  <c:v>1.84</c:v>
                </c:pt>
                <c:pt idx="8">
                  <c:v>1.76</c:v>
                </c:pt>
                <c:pt idx="9">
                  <c:v>1.9419999999999982</c:v>
                </c:pt>
                <c:pt idx="10">
                  <c:v>2.3569999999999967</c:v>
                </c:pt>
                <c:pt idx="11">
                  <c:v>2.9619999999999997</c:v>
                </c:pt>
                <c:pt idx="12">
                  <c:v>3.262</c:v>
                </c:pt>
                <c:pt idx="13">
                  <c:v>2.6070000000000002</c:v>
                </c:pt>
                <c:pt idx="14">
                  <c:v>2.2480000000000002</c:v>
                </c:pt>
                <c:pt idx="15">
                  <c:v>2.3569999999999967</c:v>
                </c:pt>
                <c:pt idx="16">
                  <c:v>2.407</c:v>
                </c:pt>
                <c:pt idx="17">
                  <c:v>2.52</c:v>
                </c:pt>
                <c:pt idx="18">
                  <c:v>2.6559999999999997</c:v>
                </c:pt>
                <c:pt idx="19">
                  <c:v>3.125</c:v>
                </c:pt>
                <c:pt idx="20">
                  <c:v>3.1030000000000002</c:v>
                </c:pt>
                <c:pt idx="21">
                  <c:v>3.165</c:v>
                </c:pt>
                <c:pt idx="22">
                  <c:v>3.0959999999999988</c:v>
                </c:pt>
                <c:pt idx="23">
                  <c:v>2.6539999999999999</c:v>
                </c:pt>
                <c:pt idx="24">
                  <c:v>2.42</c:v>
                </c:pt>
                <c:pt idx="25">
                  <c:v>2.3639999999999999</c:v>
                </c:pt>
                <c:pt idx="26">
                  <c:v>1.8680000000000001</c:v>
                </c:pt>
                <c:pt idx="27">
                  <c:v>1.46</c:v>
                </c:pt>
                <c:pt idx="28">
                  <c:v>1.3169999999999982</c:v>
                </c:pt>
                <c:pt idx="29">
                  <c:v>1.151</c:v>
                </c:pt>
                <c:pt idx="30">
                  <c:v>1.0740000000000001</c:v>
                </c:pt>
                <c:pt idx="31">
                  <c:v>1.048</c:v>
                </c:pt>
                <c:pt idx="32">
                  <c:v>1.0249999999999981</c:v>
                </c:pt>
                <c:pt idx="33">
                  <c:v>0.91300000000000003</c:v>
                </c:pt>
                <c:pt idx="34">
                  <c:v>0.95800000000000063</c:v>
                </c:pt>
                <c:pt idx="35">
                  <c:v>0.86900000000000088</c:v>
                </c:pt>
                <c:pt idx="36">
                  <c:v>0.79</c:v>
                </c:pt>
                <c:pt idx="37">
                  <c:v>0.77600000000000113</c:v>
                </c:pt>
                <c:pt idx="38">
                  <c:v>0.72500000000000064</c:v>
                </c:pt>
                <c:pt idx="39">
                  <c:v>0.76700000000000101</c:v>
                </c:pt>
                <c:pt idx="40">
                  <c:v>0.750000000000001</c:v>
                </c:pt>
                <c:pt idx="41">
                  <c:v>0.64500000000000102</c:v>
                </c:pt>
                <c:pt idx="42">
                  <c:v>0.63500000000000101</c:v>
                </c:pt>
                <c:pt idx="43">
                  <c:v>0.60900000000000065</c:v>
                </c:pt>
                <c:pt idx="44">
                  <c:v>0.68700000000000061</c:v>
                </c:pt>
                <c:pt idx="45">
                  <c:v>0.61600000000000088</c:v>
                </c:pt>
                <c:pt idx="46">
                  <c:v>0.59899999999999998</c:v>
                </c:pt>
                <c:pt idx="47">
                  <c:v>0.62100000000000088</c:v>
                </c:pt>
                <c:pt idx="48">
                  <c:v>0.80100000000000005</c:v>
                </c:pt>
                <c:pt idx="49">
                  <c:v>0.77300000000000102</c:v>
                </c:pt>
                <c:pt idx="50">
                  <c:v>0.80600000000000005</c:v>
                </c:pt>
                <c:pt idx="51">
                  <c:v>0.78700000000000003</c:v>
                </c:pt>
                <c:pt idx="52">
                  <c:v>1.1459999999999981</c:v>
                </c:pt>
                <c:pt idx="53">
                  <c:v>1.1479999999999981</c:v>
                </c:pt>
                <c:pt idx="54">
                  <c:v>1.2249999999999981</c:v>
                </c:pt>
                <c:pt idx="55">
                  <c:v>1.208</c:v>
                </c:pt>
                <c:pt idx="56">
                  <c:v>1.3120000000000001</c:v>
                </c:pt>
                <c:pt idx="57">
                  <c:v>1.4529999999999978</c:v>
                </c:pt>
                <c:pt idx="58">
                  <c:v>1.5229999999999981</c:v>
                </c:pt>
                <c:pt idx="59">
                  <c:v>1.8839999999999979</c:v>
                </c:pt>
                <c:pt idx="60">
                  <c:v>1.7949999999999982</c:v>
                </c:pt>
                <c:pt idx="61">
                  <c:v>1.9590000000000001</c:v>
                </c:pt>
                <c:pt idx="62">
                  <c:v>2.3779999999999997</c:v>
                </c:pt>
                <c:pt idx="63">
                  <c:v>2.8359999999999967</c:v>
                </c:pt>
                <c:pt idx="64">
                  <c:v>2.9819999999999998</c:v>
                </c:pt>
                <c:pt idx="65">
                  <c:v>2.3719999999999977</c:v>
                </c:pt>
                <c:pt idx="66">
                  <c:v>2.081</c:v>
                </c:pt>
                <c:pt idx="67">
                  <c:v>2.2749999999999999</c:v>
                </c:pt>
                <c:pt idx="68">
                  <c:v>2.7770000000000001</c:v>
                </c:pt>
                <c:pt idx="69">
                  <c:v>3.0309999999999997</c:v>
                </c:pt>
                <c:pt idx="70">
                  <c:v>3.5329999999999977</c:v>
                </c:pt>
                <c:pt idx="71">
                  <c:v>3.55</c:v>
                </c:pt>
                <c:pt idx="72">
                  <c:v>3.2800000000000002</c:v>
                </c:pt>
                <c:pt idx="73">
                  <c:v>2.8909999999999987</c:v>
                </c:pt>
                <c:pt idx="74">
                  <c:v>2.6280000000000001</c:v>
                </c:pt>
                <c:pt idx="75">
                  <c:v>2.5169999999999977</c:v>
                </c:pt>
                <c:pt idx="76">
                  <c:v>2.0979999999999999</c:v>
                </c:pt>
                <c:pt idx="77">
                  <c:v>1.85</c:v>
                </c:pt>
                <c:pt idx="78">
                  <c:v>1.393</c:v>
                </c:pt>
                <c:pt idx="79">
                  <c:v>1.4549999999999979</c:v>
                </c:pt>
                <c:pt idx="80">
                  <c:v>1.1399999999999979</c:v>
                </c:pt>
                <c:pt idx="81">
                  <c:v>1.0569999999999982</c:v>
                </c:pt>
                <c:pt idx="82">
                  <c:v>0.98599999999999999</c:v>
                </c:pt>
                <c:pt idx="83">
                  <c:v>1.0409999999999981</c:v>
                </c:pt>
                <c:pt idx="84">
                  <c:v>0.93100000000000005</c:v>
                </c:pt>
                <c:pt idx="85">
                  <c:v>0.95100000000000062</c:v>
                </c:pt>
                <c:pt idx="86">
                  <c:v>0.97200000000000064</c:v>
                </c:pt>
                <c:pt idx="87">
                  <c:v>0.72400000000000064</c:v>
                </c:pt>
                <c:pt idx="88">
                  <c:v>0.82399999999999995</c:v>
                </c:pt>
                <c:pt idx="89">
                  <c:v>0.77800000000000114</c:v>
                </c:pt>
                <c:pt idx="90">
                  <c:v>0.80900000000000005</c:v>
                </c:pt>
                <c:pt idx="91">
                  <c:v>0.66200000000000114</c:v>
                </c:pt>
                <c:pt idx="92">
                  <c:v>0.61600000000000088</c:v>
                </c:pt>
                <c:pt idx="93">
                  <c:v>0.60900000000000065</c:v>
                </c:pt>
                <c:pt idx="94">
                  <c:v>0.630000000000001</c:v>
                </c:pt>
                <c:pt idx="95">
                  <c:v>0.57600000000000062</c:v>
                </c:pt>
                <c:pt idx="96">
                  <c:v>0.65700000000000114</c:v>
                </c:pt>
                <c:pt idx="97">
                  <c:v>0.67400000000000115</c:v>
                </c:pt>
                <c:pt idx="98">
                  <c:v>0.83500000000000063</c:v>
                </c:pt>
                <c:pt idx="99">
                  <c:v>0.63800000000000101</c:v>
                </c:pt>
                <c:pt idx="100">
                  <c:v>0.95900000000000063</c:v>
                </c:pt>
                <c:pt idx="101">
                  <c:v>1.032</c:v>
                </c:pt>
                <c:pt idx="102">
                  <c:v>1.0429999999999982</c:v>
                </c:pt>
                <c:pt idx="103">
                  <c:v>1.143</c:v>
                </c:pt>
                <c:pt idx="104">
                  <c:v>1.0029999999999979</c:v>
                </c:pt>
                <c:pt idx="105">
                  <c:v>1.224</c:v>
                </c:pt>
                <c:pt idx="106">
                  <c:v>1.286</c:v>
                </c:pt>
                <c:pt idx="107">
                  <c:v>1.4069999999999976</c:v>
                </c:pt>
                <c:pt idx="108">
                  <c:v>1.4709999999999981</c:v>
                </c:pt>
                <c:pt idx="109">
                  <c:v>1.5620000000000001</c:v>
                </c:pt>
                <c:pt idx="110">
                  <c:v>1.633</c:v>
                </c:pt>
                <c:pt idx="111">
                  <c:v>1.829</c:v>
                </c:pt>
                <c:pt idx="112">
                  <c:v>1.6279999999999979</c:v>
                </c:pt>
                <c:pt idx="113">
                  <c:v>1.645</c:v>
                </c:pt>
                <c:pt idx="114">
                  <c:v>1.714</c:v>
                </c:pt>
                <c:pt idx="115">
                  <c:v>1.9500000000000017</c:v>
                </c:pt>
                <c:pt idx="116">
                  <c:v>2.5459999999999998</c:v>
                </c:pt>
                <c:pt idx="117">
                  <c:v>2.4470000000000001</c:v>
                </c:pt>
                <c:pt idx="118">
                  <c:v>2.3069999999999977</c:v>
                </c:pt>
                <c:pt idx="119">
                  <c:v>2.6539999999999999</c:v>
                </c:pt>
                <c:pt idx="120">
                  <c:v>3.9709999999999988</c:v>
                </c:pt>
                <c:pt idx="121">
                  <c:v>5.0309999999999997</c:v>
                </c:pt>
                <c:pt idx="122">
                  <c:v>5.7430000000000003</c:v>
                </c:pt>
                <c:pt idx="123">
                  <c:v>5.9639999999999995</c:v>
                </c:pt>
                <c:pt idx="124">
                  <c:v>5.6229999999999913</c:v>
                </c:pt>
                <c:pt idx="125">
                  <c:v>4.4989999999999997</c:v>
                </c:pt>
                <c:pt idx="126">
                  <c:v>3.8279999999999998</c:v>
                </c:pt>
                <c:pt idx="127">
                  <c:v>3.2189999999999999</c:v>
                </c:pt>
                <c:pt idx="128">
                  <c:v>2.5379999999999998</c:v>
                </c:pt>
                <c:pt idx="129">
                  <c:v>2.073</c:v>
                </c:pt>
                <c:pt idx="130">
                  <c:v>1.673</c:v>
                </c:pt>
                <c:pt idx="131">
                  <c:v>1.3129999999999982</c:v>
                </c:pt>
                <c:pt idx="132">
                  <c:v>1.135</c:v>
                </c:pt>
                <c:pt idx="133">
                  <c:v>0.98099999999999998</c:v>
                </c:pt>
                <c:pt idx="134">
                  <c:v>0.87000000000000088</c:v>
                </c:pt>
                <c:pt idx="135">
                  <c:v>0.82399999999999995</c:v>
                </c:pt>
                <c:pt idx="136">
                  <c:v>0.80200000000000005</c:v>
                </c:pt>
              </c:numCache>
            </c:numRef>
          </c:val>
          <c:smooth val="1"/>
        </c:ser>
        <c:marker val="1"/>
        <c:axId val="96362496"/>
        <c:axId val="124868480"/>
      </c:lineChart>
      <c:catAx>
        <c:axId val="89686016"/>
        <c:scaling>
          <c:orientation val="minMax"/>
        </c:scaling>
        <c:axPos val="b"/>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89688320"/>
        <c:crosses val="autoZero"/>
        <c:auto val="1"/>
        <c:lblAlgn val="ctr"/>
        <c:lblOffset val="100"/>
        <c:tickLblSkip val="6"/>
        <c:tickMarkSkip val="1"/>
      </c:catAx>
      <c:valAx>
        <c:axId val="8968832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9686016"/>
        <c:crosses val="autoZero"/>
        <c:crossBetween val="between"/>
        <c:majorUnit val="10"/>
        <c:minorUnit val="10"/>
      </c:valAx>
      <c:catAx>
        <c:axId val="96362496"/>
        <c:scaling>
          <c:orientation val="minMax"/>
        </c:scaling>
        <c:delete val="1"/>
        <c:axPos val="b"/>
        <c:tickLblPos val="none"/>
        <c:crossAx val="124868480"/>
        <c:crosses val="autoZero"/>
        <c:auto val="1"/>
        <c:lblAlgn val="ctr"/>
        <c:lblOffset val="100"/>
      </c:catAx>
      <c:valAx>
        <c:axId val="124868480"/>
        <c:scaling>
          <c:orientation val="minMax"/>
        </c:scaling>
        <c:axPos val="r"/>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362496"/>
        <c:crosses val="max"/>
        <c:crossBetween val="between"/>
      </c:valAx>
      <c:spPr>
        <a:solidFill>
          <a:srgbClr val="C0C0C0"/>
        </a:solidFill>
        <a:ln w="12699">
          <a:solidFill>
            <a:srgbClr val="808080"/>
          </a:solidFill>
          <a:prstDash val="solid"/>
        </a:ln>
      </c:spPr>
    </c:plotArea>
    <c:legend>
      <c:legendPos val="b"/>
      <c:layout>
        <c:manualLayout>
          <c:xMode val="edge"/>
          <c:yMode val="edge"/>
          <c:x val="3.5587188612099654E-2"/>
          <c:y val="0.87147335423197492"/>
          <c:w val="0.92882562277580183"/>
          <c:h val="0.12225705329153606"/>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4483985765124556"/>
          <c:y val="2.0467836257309965E-2"/>
        </c:manualLayout>
      </c:layout>
      <c:spPr>
        <a:noFill/>
        <a:ln w="25400">
          <a:noFill/>
        </a:ln>
      </c:spPr>
      <c:txPr>
        <a:bodyPr/>
        <a:lstStyle/>
        <a:p>
          <a:pPr>
            <a:defRPr sz="825" b="0" i="0" u="none" strike="noStrike" baseline="0">
              <a:solidFill>
                <a:srgbClr val="000000"/>
              </a:solidFill>
              <a:latin typeface="Arial"/>
              <a:ea typeface="Arial"/>
              <a:cs typeface="Arial"/>
            </a:defRPr>
          </a:pPr>
          <a:endParaRPr lang="en-US"/>
        </a:p>
      </c:txPr>
    </c:title>
    <c:plotArea>
      <c:layout>
        <c:manualLayout>
          <c:layoutTarget val="inner"/>
          <c:xMode val="edge"/>
          <c:yMode val="edge"/>
          <c:x val="6.9395017793594332E-2"/>
          <c:y val="0.16081871345029244"/>
          <c:w val="0.9128113879003551"/>
          <c:h val="0.72222222222222221"/>
        </c:manualLayout>
      </c:layout>
      <c:lineChart>
        <c:grouping val="standard"/>
        <c:ser>
          <c:idx val="0"/>
          <c:order val="0"/>
          <c:tx>
            <c:strRef>
              <c:f>'HDD&amp;CDD'!$AG$1:$AG$1</c:f>
              <c:strCache>
                <c:ptCount val="1"/>
                <c:pt idx="0">
                  <c:v>temperature</c:v>
                </c:pt>
              </c:strCache>
            </c:strRef>
          </c:tx>
          <c:spPr>
            <a:ln w="12700">
              <a:solidFill>
                <a:srgbClr val="FF0000"/>
              </a:solidFill>
              <a:prstDash val="solid"/>
            </a:ln>
          </c:spPr>
          <c:marker>
            <c:symbol val="none"/>
          </c:marker>
          <c:cat>
            <c:numRef>
              <c:f>'HDD&amp;CDD'!$AF$2:$AF$367</c:f>
              <c:numCache>
                <c:formatCode>mmm\ dd</c:formatCode>
                <c:ptCount val="366"/>
                <c:pt idx="0">
                  <c:v>39814</c:v>
                </c:pt>
                <c:pt idx="1">
                  <c:v>39815</c:v>
                </c:pt>
                <c:pt idx="2">
                  <c:v>39816</c:v>
                </c:pt>
                <c:pt idx="3">
                  <c:v>39817</c:v>
                </c:pt>
                <c:pt idx="4">
                  <c:v>39818</c:v>
                </c:pt>
                <c:pt idx="5">
                  <c:v>39819</c:v>
                </c:pt>
                <c:pt idx="6">
                  <c:v>39820</c:v>
                </c:pt>
                <c:pt idx="7">
                  <c:v>39821</c:v>
                </c:pt>
                <c:pt idx="8">
                  <c:v>39822</c:v>
                </c:pt>
                <c:pt idx="9">
                  <c:v>39823</c:v>
                </c:pt>
                <c:pt idx="10">
                  <c:v>39824</c:v>
                </c:pt>
                <c:pt idx="11">
                  <c:v>39825</c:v>
                </c:pt>
                <c:pt idx="12">
                  <c:v>39826</c:v>
                </c:pt>
                <c:pt idx="13">
                  <c:v>39827</c:v>
                </c:pt>
                <c:pt idx="14">
                  <c:v>39828</c:v>
                </c:pt>
                <c:pt idx="15">
                  <c:v>39829</c:v>
                </c:pt>
                <c:pt idx="16">
                  <c:v>39830</c:v>
                </c:pt>
                <c:pt idx="17">
                  <c:v>39831</c:v>
                </c:pt>
                <c:pt idx="18">
                  <c:v>39832</c:v>
                </c:pt>
                <c:pt idx="19">
                  <c:v>39833</c:v>
                </c:pt>
                <c:pt idx="20">
                  <c:v>39834</c:v>
                </c:pt>
                <c:pt idx="21">
                  <c:v>39835</c:v>
                </c:pt>
                <c:pt idx="22">
                  <c:v>39836</c:v>
                </c:pt>
                <c:pt idx="23">
                  <c:v>39837</c:v>
                </c:pt>
                <c:pt idx="24">
                  <c:v>39838</c:v>
                </c:pt>
                <c:pt idx="25">
                  <c:v>39839</c:v>
                </c:pt>
                <c:pt idx="26">
                  <c:v>39840</c:v>
                </c:pt>
                <c:pt idx="27">
                  <c:v>39841</c:v>
                </c:pt>
                <c:pt idx="28">
                  <c:v>39842</c:v>
                </c:pt>
                <c:pt idx="29">
                  <c:v>39843</c:v>
                </c:pt>
                <c:pt idx="30">
                  <c:v>39844</c:v>
                </c:pt>
                <c:pt idx="31">
                  <c:v>39845</c:v>
                </c:pt>
                <c:pt idx="32">
                  <c:v>39846</c:v>
                </c:pt>
                <c:pt idx="33">
                  <c:v>39847</c:v>
                </c:pt>
                <c:pt idx="34">
                  <c:v>39848</c:v>
                </c:pt>
                <c:pt idx="35">
                  <c:v>39849</c:v>
                </c:pt>
                <c:pt idx="36">
                  <c:v>39850</c:v>
                </c:pt>
                <c:pt idx="37">
                  <c:v>39851</c:v>
                </c:pt>
                <c:pt idx="38">
                  <c:v>39852</c:v>
                </c:pt>
                <c:pt idx="39">
                  <c:v>39853</c:v>
                </c:pt>
                <c:pt idx="40">
                  <c:v>39854</c:v>
                </c:pt>
                <c:pt idx="41">
                  <c:v>39855</c:v>
                </c:pt>
                <c:pt idx="42">
                  <c:v>39856</c:v>
                </c:pt>
                <c:pt idx="43">
                  <c:v>39857</c:v>
                </c:pt>
                <c:pt idx="44">
                  <c:v>39858</c:v>
                </c:pt>
                <c:pt idx="45">
                  <c:v>39859</c:v>
                </c:pt>
                <c:pt idx="46">
                  <c:v>39860</c:v>
                </c:pt>
                <c:pt idx="47">
                  <c:v>39861</c:v>
                </c:pt>
                <c:pt idx="48">
                  <c:v>39862</c:v>
                </c:pt>
                <c:pt idx="49">
                  <c:v>39863</c:v>
                </c:pt>
                <c:pt idx="50">
                  <c:v>39864</c:v>
                </c:pt>
                <c:pt idx="51">
                  <c:v>39865</c:v>
                </c:pt>
                <c:pt idx="52">
                  <c:v>39866</c:v>
                </c:pt>
                <c:pt idx="53">
                  <c:v>39867</c:v>
                </c:pt>
                <c:pt idx="54">
                  <c:v>39868</c:v>
                </c:pt>
                <c:pt idx="55">
                  <c:v>39869</c:v>
                </c:pt>
                <c:pt idx="56">
                  <c:v>39870</c:v>
                </c:pt>
                <c:pt idx="57">
                  <c:v>39871</c:v>
                </c:pt>
                <c:pt idx="58">
                  <c:v>39872</c:v>
                </c:pt>
                <c:pt idx="59">
                  <c:v>39873</c:v>
                </c:pt>
                <c:pt idx="60">
                  <c:v>39873</c:v>
                </c:pt>
                <c:pt idx="61">
                  <c:v>39874</c:v>
                </c:pt>
                <c:pt idx="62">
                  <c:v>39875</c:v>
                </c:pt>
                <c:pt idx="63">
                  <c:v>39876</c:v>
                </c:pt>
                <c:pt idx="64">
                  <c:v>39877</c:v>
                </c:pt>
                <c:pt idx="65">
                  <c:v>39878</c:v>
                </c:pt>
                <c:pt idx="66">
                  <c:v>39879</c:v>
                </c:pt>
                <c:pt idx="67">
                  <c:v>39880</c:v>
                </c:pt>
                <c:pt idx="68">
                  <c:v>39881</c:v>
                </c:pt>
                <c:pt idx="69">
                  <c:v>39882</c:v>
                </c:pt>
                <c:pt idx="70">
                  <c:v>39883</c:v>
                </c:pt>
                <c:pt idx="71">
                  <c:v>39884</c:v>
                </c:pt>
                <c:pt idx="72">
                  <c:v>39885</c:v>
                </c:pt>
                <c:pt idx="73">
                  <c:v>39886</c:v>
                </c:pt>
                <c:pt idx="74">
                  <c:v>39887</c:v>
                </c:pt>
                <c:pt idx="75">
                  <c:v>39888</c:v>
                </c:pt>
                <c:pt idx="76">
                  <c:v>39889</c:v>
                </c:pt>
                <c:pt idx="77">
                  <c:v>39890</c:v>
                </c:pt>
                <c:pt idx="78">
                  <c:v>39891</c:v>
                </c:pt>
                <c:pt idx="79">
                  <c:v>39892</c:v>
                </c:pt>
                <c:pt idx="80">
                  <c:v>39893</c:v>
                </c:pt>
                <c:pt idx="81">
                  <c:v>39894</c:v>
                </c:pt>
                <c:pt idx="82">
                  <c:v>39895</c:v>
                </c:pt>
                <c:pt idx="83">
                  <c:v>39896</c:v>
                </c:pt>
                <c:pt idx="84">
                  <c:v>39897</c:v>
                </c:pt>
                <c:pt idx="85">
                  <c:v>39898</c:v>
                </c:pt>
                <c:pt idx="86">
                  <c:v>39899</c:v>
                </c:pt>
                <c:pt idx="87">
                  <c:v>39900</c:v>
                </c:pt>
                <c:pt idx="88">
                  <c:v>39901</c:v>
                </c:pt>
                <c:pt idx="89">
                  <c:v>39902</c:v>
                </c:pt>
                <c:pt idx="90">
                  <c:v>39903</c:v>
                </c:pt>
                <c:pt idx="91">
                  <c:v>39904</c:v>
                </c:pt>
                <c:pt idx="92">
                  <c:v>39905</c:v>
                </c:pt>
                <c:pt idx="93">
                  <c:v>39906</c:v>
                </c:pt>
                <c:pt idx="94">
                  <c:v>39907</c:v>
                </c:pt>
                <c:pt idx="95">
                  <c:v>39908</c:v>
                </c:pt>
                <c:pt idx="96">
                  <c:v>39909</c:v>
                </c:pt>
                <c:pt idx="97">
                  <c:v>39910</c:v>
                </c:pt>
                <c:pt idx="98">
                  <c:v>39911</c:v>
                </c:pt>
                <c:pt idx="99">
                  <c:v>39912</c:v>
                </c:pt>
                <c:pt idx="100">
                  <c:v>39913</c:v>
                </c:pt>
                <c:pt idx="101">
                  <c:v>39914</c:v>
                </c:pt>
                <c:pt idx="102">
                  <c:v>39915</c:v>
                </c:pt>
                <c:pt idx="103">
                  <c:v>39916</c:v>
                </c:pt>
                <c:pt idx="104">
                  <c:v>39917</c:v>
                </c:pt>
                <c:pt idx="105">
                  <c:v>39918</c:v>
                </c:pt>
                <c:pt idx="106">
                  <c:v>39919</c:v>
                </c:pt>
                <c:pt idx="107">
                  <c:v>39920</c:v>
                </c:pt>
                <c:pt idx="108">
                  <c:v>39921</c:v>
                </c:pt>
                <c:pt idx="109">
                  <c:v>39922</c:v>
                </c:pt>
                <c:pt idx="110">
                  <c:v>39923</c:v>
                </c:pt>
                <c:pt idx="111">
                  <c:v>39924</c:v>
                </c:pt>
                <c:pt idx="112">
                  <c:v>39925</c:v>
                </c:pt>
                <c:pt idx="113">
                  <c:v>39926</c:v>
                </c:pt>
                <c:pt idx="114">
                  <c:v>39927</c:v>
                </c:pt>
                <c:pt idx="115">
                  <c:v>39928</c:v>
                </c:pt>
                <c:pt idx="116">
                  <c:v>39929</c:v>
                </c:pt>
                <c:pt idx="117">
                  <c:v>39930</c:v>
                </c:pt>
                <c:pt idx="118">
                  <c:v>39931</c:v>
                </c:pt>
                <c:pt idx="119">
                  <c:v>39932</c:v>
                </c:pt>
                <c:pt idx="120">
                  <c:v>39933</c:v>
                </c:pt>
                <c:pt idx="121">
                  <c:v>39934</c:v>
                </c:pt>
                <c:pt idx="122">
                  <c:v>39935</c:v>
                </c:pt>
                <c:pt idx="123">
                  <c:v>39936</c:v>
                </c:pt>
                <c:pt idx="124">
                  <c:v>39937</c:v>
                </c:pt>
                <c:pt idx="125">
                  <c:v>39938</c:v>
                </c:pt>
                <c:pt idx="126">
                  <c:v>39939</c:v>
                </c:pt>
                <c:pt idx="127">
                  <c:v>39940</c:v>
                </c:pt>
                <c:pt idx="128">
                  <c:v>39941</c:v>
                </c:pt>
                <c:pt idx="129">
                  <c:v>39942</c:v>
                </c:pt>
                <c:pt idx="130">
                  <c:v>39943</c:v>
                </c:pt>
                <c:pt idx="131">
                  <c:v>39944</c:v>
                </c:pt>
                <c:pt idx="132">
                  <c:v>39945</c:v>
                </c:pt>
                <c:pt idx="133">
                  <c:v>39946</c:v>
                </c:pt>
                <c:pt idx="134">
                  <c:v>39947</c:v>
                </c:pt>
                <c:pt idx="135">
                  <c:v>39948</c:v>
                </c:pt>
                <c:pt idx="136">
                  <c:v>39949</c:v>
                </c:pt>
                <c:pt idx="137">
                  <c:v>39950</c:v>
                </c:pt>
                <c:pt idx="138">
                  <c:v>39951</c:v>
                </c:pt>
                <c:pt idx="139">
                  <c:v>39952</c:v>
                </c:pt>
                <c:pt idx="140">
                  <c:v>39953</c:v>
                </c:pt>
                <c:pt idx="141">
                  <c:v>39954</c:v>
                </c:pt>
                <c:pt idx="142">
                  <c:v>39955</c:v>
                </c:pt>
                <c:pt idx="143">
                  <c:v>39956</c:v>
                </c:pt>
                <c:pt idx="144">
                  <c:v>39957</c:v>
                </c:pt>
                <c:pt idx="145">
                  <c:v>39958</c:v>
                </c:pt>
                <c:pt idx="146">
                  <c:v>39959</c:v>
                </c:pt>
                <c:pt idx="147">
                  <c:v>39960</c:v>
                </c:pt>
                <c:pt idx="148">
                  <c:v>39961</c:v>
                </c:pt>
                <c:pt idx="149">
                  <c:v>39962</c:v>
                </c:pt>
                <c:pt idx="150">
                  <c:v>39963</c:v>
                </c:pt>
                <c:pt idx="151">
                  <c:v>39964</c:v>
                </c:pt>
                <c:pt idx="152">
                  <c:v>39965</c:v>
                </c:pt>
                <c:pt idx="153">
                  <c:v>39966</c:v>
                </c:pt>
                <c:pt idx="154">
                  <c:v>39967</c:v>
                </c:pt>
                <c:pt idx="155">
                  <c:v>39968</c:v>
                </c:pt>
                <c:pt idx="156">
                  <c:v>39969</c:v>
                </c:pt>
                <c:pt idx="157">
                  <c:v>39970</c:v>
                </c:pt>
                <c:pt idx="158">
                  <c:v>39971</c:v>
                </c:pt>
                <c:pt idx="159">
                  <c:v>39972</c:v>
                </c:pt>
                <c:pt idx="160">
                  <c:v>39973</c:v>
                </c:pt>
                <c:pt idx="161">
                  <c:v>39974</c:v>
                </c:pt>
                <c:pt idx="162">
                  <c:v>39975</c:v>
                </c:pt>
                <c:pt idx="163">
                  <c:v>39976</c:v>
                </c:pt>
                <c:pt idx="164">
                  <c:v>39977</c:v>
                </c:pt>
                <c:pt idx="165">
                  <c:v>39978</c:v>
                </c:pt>
                <c:pt idx="166">
                  <c:v>39979</c:v>
                </c:pt>
                <c:pt idx="167">
                  <c:v>39980</c:v>
                </c:pt>
                <c:pt idx="168">
                  <c:v>39981</c:v>
                </c:pt>
                <c:pt idx="169">
                  <c:v>39982</c:v>
                </c:pt>
                <c:pt idx="170">
                  <c:v>39983</c:v>
                </c:pt>
                <c:pt idx="171">
                  <c:v>39984</c:v>
                </c:pt>
                <c:pt idx="172">
                  <c:v>39985</c:v>
                </c:pt>
                <c:pt idx="173">
                  <c:v>39986</c:v>
                </c:pt>
                <c:pt idx="174">
                  <c:v>39987</c:v>
                </c:pt>
                <c:pt idx="175">
                  <c:v>39988</c:v>
                </c:pt>
                <c:pt idx="176">
                  <c:v>39989</c:v>
                </c:pt>
                <c:pt idx="177">
                  <c:v>39990</c:v>
                </c:pt>
                <c:pt idx="178">
                  <c:v>39991</c:v>
                </c:pt>
                <c:pt idx="179">
                  <c:v>39992</c:v>
                </c:pt>
                <c:pt idx="180">
                  <c:v>39993</c:v>
                </c:pt>
                <c:pt idx="181">
                  <c:v>39994</c:v>
                </c:pt>
                <c:pt idx="182">
                  <c:v>39995</c:v>
                </c:pt>
                <c:pt idx="183">
                  <c:v>39996</c:v>
                </c:pt>
                <c:pt idx="184">
                  <c:v>39997</c:v>
                </c:pt>
                <c:pt idx="185">
                  <c:v>39998</c:v>
                </c:pt>
                <c:pt idx="186">
                  <c:v>39999</c:v>
                </c:pt>
                <c:pt idx="187">
                  <c:v>40000</c:v>
                </c:pt>
                <c:pt idx="188">
                  <c:v>40001</c:v>
                </c:pt>
                <c:pt idx="189">
                  <c:v>40002</c:v>
                </c:pt>
                <c:pt idx="190">
                  <c:v>40003</c:v>
                </c:pt>
                <c:pt idx="191">
                  <c:v>40004</c:v>
                </c:pt>
                <c:pt idx="192">
                  <c:v>40005</c:v>
                </c:pt>
                <c:pt idx="193">
                  <c:v>40006</c:v>
                </c:pt>
                <c:pt idx="194">
                  <c:v>40007</c:v>
                </c:pt>
                <c:pt idx="195">
                  <c:v>40008</c:v>
                </c:pt>
                <c:pt idx="196">
                  <c:v>40009</c:v>
                </c:pt>
                <c:pt idx="197">
                  <c:v>40010</c:v>
                </c:pt>
                <c:pt idx="198">
                  <c:v>40011</c:v>
                </c:pt>
                <c:pt idx="199">
                  <c:v>40012</c:v>
                </c:pt>
                <c:pt idx="200">
                  <c:v>40013</c:v>
                </c:pt>
                <c:pt idx="201">
                  <c:v>40014</c:v>
                </c:pt>
                <c:pt idx="202">
                  <c:v>40015</c:v>
                </c:pt>
                <c:pt idx="203">
                  <c:v>40016</c:v>
                </c:pt>
                <c:pt idx="204">
                  <c:v>40017</c:v>
                </c:pt>
                <c:pt idx="205">
                  <c:v>40018</c:v>
                </c:pt>
                <c:pt idx="206">
                  <c:v>40019</c:v>
                </c:pt>
                <c:pt idx="207">
                  <c:v>40020</c:v>
                </c:pt>
                <c:pt idx="208">
                  <c:v>40021</c:v>
                </c:pt>
                <c:pt idx="209">
                  <c:v>40022</c:v>
                </c:pt>
                <c:pt idx="210">
                  <c:v>40023</c:v>
                </c:pt>
                <c:pt idx="211">
                  <c:v>40024</c:v>
                </c:pt>
                <c:pt idx="212">
                  <c:v>40025</c:v>
                </c:pt>
                <c:pt idx="213">
                  <c:v>40026</c:v>
                </c:pt>
                <c:pt idx="214">
                  <c:v>40027</c:v>
                </c:pt>
                <c:pt idx="215">
                  <c:v>40028</c:v>
                </c:pt>
                <c:pt idx="216">
                  <c:v>40029</c:v>
                </c:pt>
                <c:pt idx="217">
                  <c:v>40030</c:v>
                </c:pt>
                <c:pt idx="218">
                  <c:v>40031</c:v>
                </c:pt>
                <c:pt idx="219">
                  <c:v>40032</c:v>
                </c:pt>
                <c:pt idx="220">
                  <c:v>40033</c:v>
                </c:pt>
                <c:pt idx="221">
                  <c:v>40034</c:v>
                </c:pt>
                <c:pt idx="222">
                  <c:v>40035</c:v>
                </c:pt>
                <c:pt idx="223">
                  <c:v>40036</c:v>
                </c:pt>
                <c:pt idx="224">
                  <c:v>40037</c:v>
                </c:pt>
                <c:pt idx="225">
                  <c:v>40038</c:v>
                </c:pt>
                <c:pt idx="226">
                  <c:v>40039</c:v>
                </c:pt>
                <c:pt idx="227">
                  <c:v>40040</c:v>
                </c:pt>
                <c:pt idx="228">
                  <c:v>40041</c:v>
                </c:pt>
                <c:pt idx="229">
                  <c:v>40042</c:v>
                </c:pt>
                <c:pt idx="230">
                  <c:v>40043</c:v>
                </c:pt>
                <c:pt idx="231">
                  <c:v>40044</c:v>
                </c:pt>
                <c:pt idx="232">
                  <c:v>40045</c:v>
                </c:pt>
                <c:pt idx="233">
                  <c:v>40046</c:v>
                </c:pt>
                <c:pt idx="234">
                  <c:v>40047</c:v>
                </c:pt>
                <c:pt idx="235">
                  <c:v>40048</c:v>
                </c:pt>
                <c:pt idx="236">
                  <c:v>40049</c:v>
                </c:pt>
                <c:pt idx="237">
                  <c:v>40050</c:v>
                </c:pt>
                <c:pt idx="238">
                  <c:v>40051</c:v>
                </c:pt>
                <c:pt idx="239">
                  <c:v>40052</c:v>
                </c:pt>
                <c:pt idx="240">
                  <c:v>40053</c:v>
                </c:pt>
                <c:pt idx="241">
                  <c:v>40054</c:v>
                </c:pt>
                <c:pt idx="242">
                  <c:v>40055</c:v>
                </c:pt>
                <c:pt idx="243">
                  <c:v>40056</c:v>
                </c:pt>
                <c:pt idx="244">
                  <c:v>40057</c:v>
                </c:pt>
                <c:pt idx="245">
                  <c:v>40058</c:v>
                </c:pt>
                <c:pt idx="246">
                  <c:v>40059</c:v>
                </c:pt>
                <c:pt idx="247">
                  <c:v>40060</c:v>
                </c:pt>
                <c:pt idx="248">
                  <c:v>40061</c:v>
                </c:pt>
                <c:pt idx="249">
                  <c:v>40062</c:v>
                </c:pt>
                <c:pt idx="250">
                  <c:v>40063</c:v>
                </c:pt>
                <c:pt idx="251">
                  <c:v>40064</c:v>
                </c:pt>
                <c:pt idx="252">
                  <c:v>40065</c:v>
                </c:pt>
                <c:pt idx="253">
                  <c:v>40066</c:v>
                </c:pt>
                <c:pt idx="254">
                  <c:v>40067</c:v>
                </c:pt>
                <c:pt idx="255">
                  <c:v>40068</c:v>
                </c:pt>
                <c:pt idx="256">
                  <c:v>40069</c:v>
                </c:pt>
                <c:pt idx="257">
                  <c:v>40070</c:v>
                </c:pt>
                <c:pt idx="258">
                  <c:v>40071</c:v>
                </c:pt>
                <c:pt idx="259">
                  <c:v>40072</c:v>
                </c:pt>
                <c:pt idx="260">
                  <c:v>40073</c:v>
                </c:pt>
                <c:pt idx="261">
                  <c:v>40074</c:v>
                </c:pt>
                <c:pt idx="262">
                  <c:v>40075</c:v>
                </c:pt>
                <c:pt idx="263">
                  <c:v>40076</c:v>
                </c:pt>
                <c:pt idx="264">
                  <c:v>40077</c:v>
                </c:pt>
                <c:pt idx="265">
                  <c:v>40078</c:v>
                </c:pt>
                <c:pt idx="266">
                  <c:v>40079</c:v>
                </c:pt>
                <c:pt idx="267">
                  <c:v>40080</c:v>
                </c:pt>
                <c:pt idx="268">
                  <c:v>40081</c:v>
                </c:pt>
                <c:pt idx="269">
                  <c:v>40082</c:v>
                </c:pt>
                <c:pt idx="270">
                  <c:v>40083</c:v>
                </c:pt>
                <c:pt idx="271">
                  <c:v>40084</c:v>
                </c:pt>
                <c:pt idx="272">
                  <c:v>40085</c:v>
                </c:pt>
                <c:pt idx="273">
                  <c:v>40086</c:v>
                </c:pt>
                <c:pt idx="274">
                  <c:v>40087</c:v>
                </c:pt>
                <c:pt idx="275">
                  <c:v>40088</c:v>
                </c:pt>
                <c:pt idx="276">
                  <c:v>40089</c:v>
                </c:pt>
                <c:pt idx="277">
                  <c:v>40090</c:v>
                </c:pt>
                <c:pt idx="278">
                  <c:v>40091</c:v>
                </c:pt>
                <c:pt idx="279">
                  <c:v>40092</c:v>
                </c:pt>
                <c:pt idx="280">
                  <c:v>40093</c:v>
                </c:pt>
                <c:pt idx="281">
                  <c:v>40094</c:v>
                </c:pt>
                <c:pt idx="282">
                  <c:v>40095</c:v>
                </c:pt>
                <c:pt idx="283">
                  <c:v>40096</c:v>
                </c:pt>
                <c:pt idx="284">
                  <c:v>40097</c:v>
                </c:pt>
                <c:pt idx="285">
                  <c:v>40098</c:v>
                </c:pt>
                <c:pt idx="286">
                  <c:v>40099</c:v>
                </c:pt>
                <c:pt idx="287">
                  <c:v>40100</c:v>
                </c:pt>
                <c:pt idx="288">
                  <c:v>40101</c:v>
                </c:pt>
                <c:pt idx="289">
                  <c:v>40102</c:v>
                </c:pt>
                <c:pt idx="290">
                  <c:v>40103</c:v>
                </c:pt>
                <c:pt idx="291">
                  <c:v>40104</c:v>
                </c:pt>
                <c:pt idx="292">
                  <c:v>40105</c:v>
                </c:pt>
                <c:pt idx="293">
                  <c:v>40106</c:v>
                </c:pt>
                <c:pt idx="294">
                  <c:v>40107</c:v>
                </c:pt>
                <c:pt idx="295">
                  <c:v>40108</c:v>
                </c:pt>
                <c:pt idx="296">
                  <c:v>40109</c:v>
                </c:pt>
                <c:pt idx="297">
                  <c:v>40110</c:v>
                </c:pt>
                <c:pt idx="298">
                  <c:v>40111</c:v>
                </c:pt>
                <c:pt idx="299">
                  <c:v>40112</c:v>
                </c:pt>
                <c:pt idx="300">
                  <c:v>40113</c:v>
                </c:pt>
                <c:pt idx="301">
                  <c:v>40114</c:v>
                </c:pt>
                <c:pt idx="302">
                  <c:v>40115</c:v>
                </c:pt>
                <c:pt idx="303">
                  <c:v>40116</c:v>
                </c:pt>
                <c:pt idx="304">
                  <c:v>40117</c:v>
                </c:pt>
                <c:pt idx="305">
                  <c:v>40118</c:v>
                </c:pt>
                <c:pt idx="306">
                  <c:v>40119</c:v>
                </c:pt>
                <c:pt idx="307">
                  <c:v>40120</c:v>
                </c:pt>
                <c:pt idx="308">
                  <c:v>40121</c:v>
                </c:pt>
                <c:pt idx="309">
                  <c:v>40122</c:v>
                </c:pt>
                <c:pt idx="310">
                  <c:v>40123</c:v>
                </c:pt>
                <c:pt idx="311">
                  <c:v>40124</c:v>
                </c:pt>
                <c:pt idx="312">
                  <c:v>40125</c:v>
                </c:pt>
                <c:pt idx="313">
                  <c:v>40126</c:v>
                </c:pt>
                <c:pt idx="314">
                  <c:v>40127</c:v>
                </c:pt>
                <c:pt idx="315">
                  <c:v>40128</c:v>
                </c:pt>
                <c:pt idx="316">
                  <c:v>40129</c:v>
                </c:pt>
                <c:pt idx="317">
                  <c:v>40130</c:v>
                </c:pt>
                <c:pt idx="318">
                  <c:v>40131</c:v>
                </c:pt>
                <c:pt idx="319">
                  <c:v>40132</c:v>
                </c:pt>
                <c:pt idx="320">
                  <c:v>40133</c:v>
                </c:pt>
                <c:pt idx="321">
                  <c:v>40134</c:v>
                </c:pt>
                <c:pt idx="322">
                  <c:v>40135</c:v>
                </c:pt>
                <c:pt idx="323">
                  <c:v>40136</c:v>
                </c:pt>
                <c:pt idx="324">
                  <c:v>40137</c:v>
                </c:pt>
                <c:pt idx="325">
                  <c:v>40138</c:v>
                </c:pt>
                <c:pt idx="326">
                  <c:v>40139</c:v>
                </c:pt>
                <c:pt idx="327">
                  <c:v>40140</c:v>
                </c:pt>
                <c:pt idx="328">
                  <c:v>40141</c:v>
                </c:pt>
                <c:pt idx="329">
                  <c:v>40142</c:v>
                </c:pt>
                <c:pt idx="330">
                  <c:v>40143</c:v>
                </c:pt>
                <c:pt idx="331">
                  <c:v>40144</c:v>
                </c:pt>
                <c:pt idx="332">
                  <c:v>40145</c:v>
                </c:pt>
                <c:pt idx="333">
                  <c:v>40146</c:v>
                </c:pt>
                <c:pt idx="334">
                  <c:v>40147</c:v>
                </c:pt>
                <c:pt idx="335">
                  <c:v>40148</c:v>
                </c:pt>
                <c:pt idx="336">
                  <c:v>40149</c:v>
                </c:pt>
                <c:pt idx="337">
                  <c:v>40150</c:v>
                </c:pt>
                <c:pt idx="338">
                  <c:v>40151</c:v>
                </c:pt>
                <c:pt idx="339">
                  <c:v>40152</c:v>
                </c:pt>
                <c:pt idx="340">
                  <c:v>40153</c:v>
                </c:pt>
                <c:pt idx="341">
                  <c:v>40154</c:v>
                </c:pt>
                <c:pt idx="342">
                  <c:v>40155</c:v>
                </c:pt>
                <c:pt idx="343">
                  <c:v>40156</c:v>
                </c:pt>
                <c:pt idx="344">
                  <c:v>40157</c:v>
                </c:pt>
                <c:pt idx="345">
                  <c:v>40158</c:v>
                </c:pt>
                <c:pt idx="346">
                  <c:v>40159</c:v>
                </c:pt>
                <c:pt idx="347">
                  <c:v>40160</c:v>
                </c:pt>
                <c:pt idx="348">
                  <c:v>40161</c:v>
                </c:pt>
                <c:pt idx="349">
                  <c:v>40162</c:v>
                </c:pt>
                <c:pt idx="350">
                  <c:v>40163</c:v>
                </c:pt>
                <c:pt idx="351">
                  <c:v>40164</c:v>
                </c:pt>
                <c:pt idx="352">
                  <c:v>40165</c:v>
                </c:pt>
                <c:pt idx="353">
                  <c:v>40166</c:v>
                </c:pt>
                <c:pt idx="354">
                  <c:v>40167</c:v>
                </c:pt>
                <c:pt idx="355">
                  <c:v>40168</c:v>
                </c:pt>
                <c:pt idx="356">
                  <c:v>40169</c:v>
                </c:pt>
                <c:pt idx="357">
                  <c:v>40170</c:v>
                </c:pt>
                <c:pt idx="358">
                  <c:v>40171</c:v>
                </c:pt>
                <c:pt idx="359">
                  <c:v>40172</c:v>
                </c:pt>
                <c:pt idx="360">
                  <c:v>40173</c:v>
                </c:pt>
                <c:pt idx="361">
                  <c:v>40174</c:v>
                </c:pt>
                <c:pt idx="362">
                  <c:v>40175</c:v>
                </c:pt>
                <c:pt idx="363">
                  <c:v>40176</c:v>
                </c:pt>
                <c:pt idx="364">
                  <c:v>40177</c:v>
                </c:pt>
                <c:pt idx="365">
                  <c:v>40178</c:v>
                </c:pt>
              </c:numCache>
            </c:numRef>
          </c:cat>
          <c:val>
            <c:numRef>
              <c:f>'HDD&amp;CDD'!$AG$2:$AG$367</c:f>
              <c:numCache>
                <c:formatCode>General</c:formatCode>
                <c:ptCount val="366"/>
                <c:pt idx="0">
                  <c:v>55.260000000000012</c:v>
                </c:pt>
                <c:pt idx="1">
                  <c:v>56.44</c:v>
                </c:pt>
                <c:pt idx="2">
                  <c:v>56.02</c:v>
                </c:pt>
                <c:pt idx="3">
                  <c:v>55.260000000000012</c:v>
                </c:pt>
                <c:pt idx="4">
                  <c:v>56.52</c:v>
                </c:pt>
                <c:pt idx="5">
                  <c:v>57</c:v>
                </c:pt>
                <c:pt idx="6">
                  <c:v>55.1</c:v>
                </c:pt>
                <c:pt idx="7">
                  <c:v>57.120000000000012</c:v>
                </c:pt>
                <c:pt idx="8">
                  <c:v>59.280000000000008</c:v>
                </c:pt>
                <c:pt idx="9">
                  <c:v>58.859999999999992</c:v>
                </c:pt>
                <c:pt idx="10">
                  <c:v>57.7</c:v>
                </c:pt>
                <c:pt idx="11">
                  <c:v>56.56</c:v>
                </c:pt>
                <c:pt idx="12">
                  <c:v>57.08</c:v>
                </c:pt>
                <c:pt idx="13">
                  <c:v>56.98</c:v>
                </c:pt>
                <c:pt idx="14">
                  <c:v>56.260000000000012</c:v>
                </c:pt>
                <c:pt idx="15">
                  <c:v>56.96</c:v>
                </c:pt>
                <c:pt idx="16">
                  <c:v>57.760000000000012</c:v>
                </c:pt>
                <c:pt idx="17">
                  <c:v>58.9</c:v>
                </c:pt>
                <c:pt idx="18">
                  <c:v>62.320000000000007</c:v>
                </c:pt>
                <c:pt idx="19">
                  <c:v>59.859999999999992</c:v>
                </c:pt>
                <c:pt idx="20">
                  <c:v>58.08</c:v>
                </c:pt>
                <c:pt idx="21">
                  <c:v>56.48</c:v>
                </c:pt>
                <c:pt idx="22">
                  <c:v>58.240000000000009</c:v>
                </c:pt>
                <c:pt idx="23">
                  <c:v>57.06</c:v>
                </c:pt>
                <c:pt idx="24">
                  <c:v>56.839999999999996</c:v>
                </c:pt>
                <c:pt idx="25">
                  <c:v>55.56</c:v>
                </c:pt>
                <c:pt idx="26">
                  <c:v>55.8</c:v>
                </c:pt>
                <c:pt idx="27">
                  <c:v>55.379999999999995</c:v>
                </c:pt>
                <c:pt idx="28">
                  <c:v>55.240000000000009</c:v>
                </c:pt>
                <c:pt idx="29">
                  <c:v>55.86</c:v>
                </c:pt>
                <c:pt idx="30">
                  <c:v>57.02</c:v>
                </c:pt>
                <c:pt idx="31">
                  <c:v>56.040000000000006</c:v>
                </c:pt>
                <c:pt idx="32">
                  <c:v>56.9</c:v>
                </c:pt>
                <c:pt idx="33">
                  <c:v>57.620000000000012</c:v>
                </c:pt>
                <c:pt idx="34">
                  <c:v>58.9</c:v>
                </c:pt>
                <c:pt idx="35">
                  <c:v>59.8</c:v>
                </c:pt>
                <c:pt idx="36">
                  <c:v>57.059999999999988</c:v>
                </c:pt>
                <c:pt idx="37">
                  <c:v>56.320000000000007</c:v>
                </c:pt>
                <c:pt idx="38">
                  <c:v>57.36</c:v>
                </c:pt>
                <c:pt idx="39">
                  <c:v>59.86</c:v>
                </c:pt>
                <c:pt idx="40">
                  <c:v>57.64</c:v>
                </c:pt>
                <c:pt idx="41">
                  <c:v>56.86</c:v>
                </c:pt>
                <c:pt idx="42">
                  <c:v>58.260000000000012</c:v>
                </c:pt>
                <c:pt idx="43">
                  <c:v>57.720000000000013</c:v>
                </c:pt>
                <c:pt idx="44">
                  <c:v>56.2</c:v>
                </c:pt>
                <c:pt idx="45">
                  <c:v>55.740000000000009</c:v>
                </c:pt>
                <c:pt idx="46">
                  <c:v>55.86</c:v>
                </c:pt>
                <c:pt idx="47">
                  <c:v>57.120000000000012</c:v>
                </c:pt>
                <c:pt idx="48">
                  <c:v>56.6</c:v>
                </c:pt>
                <c:pt idx="49">
                  <c:v>55.52</c:v>
                </c:pt>
                <c:pt idx="50">
                  <c:v>55.42</c:v>
                </c:pt>
                <c:pt idx="51">
                  <c:v>55.48</c:v>
                </c:pt>
                <c:pt idx="52">
                  <c:v>56.120000000000012</c:v>
                </c:pt>
                <c:pt idx="53">
                  <c:v>56.159999999999989</c:v>
                </c:pt>
                <c:pt idx="54">
                  <c:v>55.620000000000012</c:v>
                </c:pt>
                <c:pt idx="55">
                  <c:v>55.64</c:v>
                </c:pt>
                <c:pt idx="56">
                  <c:v>58.06</c:v>
                </c:pt>
                <c:pt idx="57">
                  <c:v>59.3</c:v>
                </c:pt>
                <c:pt idx="58">
                  <c:v>56.839999999999996</c:v>
                </c:pt>
                <c:pt idx="59">
                  <c:v>55.8</c:v>
                </c:pt>
                <c:pt idx="60">
                  <c:v>57.120000000000012</c:v>
                </c:pt>
                <c:pt idx="61">
                  <c:v>57.14</c:v>
                </c:pt>
                <c:pt idx="62">
                  <c:v>58.280000000000008</c:v>
                </c:pt>
                <c:pt idx="63">
                  <c:v>57.740000000000009</c:v>
                </c:pt>
                <c:pt idx="64">
                  <c:v>57.5</c:v>
                </c:pt>
                <c:pt idx="65">
                  <c:v>58.06</c:v>
                </c:pt>
                <c:pt idx="66">
                  <c:v>58.1</c:v>
                </c:pt>
                <c:pt idx="67">
                  <c:v>57.42</c:v>
                </c:pt>
                <c:pt idx="68">
                  <c:v>57.2</c:v>
                </c:pt>
                <c:pt idx="69">
                  <c:v>57.2</c:v>
                </c:pt>
                <c:pt idx="70">
                  <c:v>57.9</c:v>
                </c:pt>
                <c:pt idx="71">
                  <c:v>58.660000000000011</c:v>
                </c:pt>
                <c:pt idx="72">
                  <c:v>57.44</c:v>
                </c:pt>
                <c:pt idx="73">
                  <c:v>57.120000000000012</c:v>
                </c:pt>
                <c:pt idx="74">
                  <c:v>57.480000000000004</c:v>
                </c:pt>
                <c:pt idx="75">
                  <c:v>56.4</c:v>
                </c:pt>
                <c:pt idx="76">
                  <c:v>57.9</c:v>
                </c:pt>
                <c:pt idx="77">
                  <c:v>57.04</c:v>
                </c:pt>
                <c:pt idx="78">
                  <c:v>55.839999999999996</c:v>
                </c:pt>
                <c:pt idx="79">
                  <c:v>56.2</c:v>
                </c:pt>
                <c:pt idx="80">
                  <c:v>56.64</c:v>
                </c:pt>
                <c:pt idx="81">
                  <c:v>57.839999999999996</c:v>
                </c:pt>
                <c:pt idx="82">
                  <c:v>60.760000000000012</c:v>
                </c:pt>
                <c:pt idx="83">
                  <c:v>60.780000000000008</c:v>
                </c:pt>
                <c:pt idx="84">
                  <c:v>57.98</c:v>
                </c:pt>
                <c:pt idx="85">
                  <c:v>58.160000000000011</c:v>
                </c:pt>
                <c:pt idx="86">
                  <c:v>58.9</c:v>
                </c:pt>
                <c:pt idx="87">
                  <c:v>57.620000000000012</c:v>
                </c:pt>
                <c:pt idx="88">
                  <c:v>57.48</c:v>
                </c:pt>
                <c:pt idx="89">
                  <c:v>57.7</c:v>
                </c:pt>
                <c:pt idx="90">
                  <c:v>58.42</c:v>
                </c:pt>
                <c:pt idx="91">
                  <c:v>58.680000000000007</c:v>
                </c:pt>
                <c:pt idx="92">
                  <c:v>58.46</c:v>
                </c:pt>
                <c:pt idx="93">
                  <c:v>58.080000000000005</c:v>
                </c:pt>
                <c:pt idx="94">
                  <c:v>58.14</c:v>
                </c:pt>
                <c:pt idx="95">
                  <c:v>58.98</c:v>
                </c:pt>
                <c:pt idx="96">
                  <c:v>60.120000000000012</c:v>
                </c:pt>
                <c:pt idx="97">
                  <c:v>58.1</c:v>
                </c:pt>
                <c:pt idx="98">
                  <c:v>57.7</c:v>
                </c:pt>
                <c:pt idx="99">
                  <c:v>25.900000000000006</c:v>
                </c:pt>
                <c:pt idx="100">
                  <c:v>58.280000000000008</c:v>
                </c:pt>
                <c:pt idx="101">
                  <c:v>59.620000000000012</c:v>
                </c:pt>
                <c:pt idx="102">
                  <c:v>61.660000000000011</c:v>
                </c:pt>
                <c:pt idx="103">
                  <c:v>64.039999999999992</c:v>
                </c:pt>
                <c:pt idx="104">
                  <c:v>61.580000000000005</c:v>
                </c:pt>
                <c:pt idx="105">
                  <c:v>57.660000000000011</c:v>
                </c:pt>
                <c:pt idx="106">
                  <c:v>58</c:v>
                </c:pt>
                <c:pt idx="107">
                  <c:v>59.2</c:v>
                </c:pt>
                <c:pt idx="108">
                  <c:v>59.879999999999995</c:v>
                </c:pt>
                <c:pt idx="109">
                  <c:v>60.52</c:v>
                </c:pt>
                <c:pt idx="110">
                  <c:v>61.46</c:v>
                </c:pt>
                <c:pt idx="111">
                  <c:v>61.18</c:v>
                </c:pt>
                <c:pt idx="112">
                  <c:v>59.02</c:v>
                </c:pt>
                <c:pt idx="113">
                  <c:v>57.7</c:v>
                </c:pt>
                <c:pt idx="114">
                  <c:v>58.86</c:v>
                </c:pt>
                <c:pt idx="115">
                  <c:v>59.92</c:v>
                </c:pt>
                <c:pt idx="116">
                  <c:v>61.48</c:v>
                </c:pt>
                <c:pt idx="117">
                  <c:v>63.879999999999995</c:v>
                </c:pt>
                <c:pt idx="118">
                  <c:v>63.64</c:v>
                </c:pt>
                <c:pt idx="119">
                  <c:v>60.9</c:v>
                </c:pt>
                <c:pt idx="120">
                  <c:v>60.3</c:v>
                </c:pt>
                <c:pt idx="121">
                  <c:v>60.220000000000013</c:v>
                </c:pt>
                <c:pt idx="122">
                  <c:v>61.760000000000012</c:v>
                </c:pt>
                <c:pt idx="123">
                  <c:v>61.780000000000008</c:v>
                </c:pt>
                <c:pt idx="124">
                  <c:v>61.18</c:v>
                </c:pt>
                <c:pt idx="125">
                  <c:v>61.44</c:v>
                </c:pt>
                <c:pt idx="126">
                  <c:v>62.98</c:v>
                </c:pt>
                <c:pt idx="127">
                  <c:v>64.56</c:v>
                </c:pt>
                <c:pt idx="128">
                  <c:v>64.47999999999999</c:v>
                </c:pt>
                <c:pt idx="129">
                  <c:v>62.4</c:v>
                </c:pt>
                <c:pt idx="130">
                  <c:v>60.52</c:v>
                </c:pt>
                <c:pt idx="131">
                  <c:v>60.760000000000012</c:v>
                </c:pt>
                <c:pt idx="132">
                  <c:v>61.2</c:v>
                </c:pt>
                <c:pt idx="133">
                  <c:v>62.359999999999992</c:v>
                </c:pt>
                <c:pt idx="134">
                  <c:v>63.260000000000012</c:v>
                </c:pt>
                <c:pt idx="135">
                  <c:v>64.099999999999994</c:v>
                </c:pt>
                <c:pt idx="136">
                  <c:v>64</c:v>
                </c:pt>
                <c:pt idx="137">
                  <c:v>64.599999999999994</c:v>
                </c:pt>
                <c:pt idx="138">
                  <c:v>64.86</c:v>
                </c:pt>
                <c:pt idx="139">
                  <c:v>64.86</c:v>
                </c:pt>
                <c:pt idx="140">
                  <c:v>64</c:v>
                </c:pt>
                <c:pt idx="141">
                  <c:v>64.16</c:v>
                </c:pt>
                <c:pt idx="142">
                  <c:v>63.42</c:v>
                </c:pt>
                <c:pt idx="143">
                  <c:v>62.54</c:v>
                </c:pt>
                <c:pt idx="144">
                  <c:v>62.320000000000007</c:v>
                </c:pt>
                <c:pt idx="145">
                  <c:v>62.56</c:v>
                </c:pt>
                <c:pt idx="146">
                  <c:v>61.9</c:v>
                </c:pt>
                <c:pt idx="147">
                  <c:v>62.42</c:v>
                </c:pt>
                <c:pt idx="148">
                  <c:v>63.2</c:v>
                </c:pt>
                <c:pt idx="149">
                  <c:v>63.42</c:v>
                </c:pt>
                <c:pt idx="150">
                  <c:v>63.260000000000012</c:v>
                </c:pt>
                <c:pt idx="151">
                  <c:v>63.379999999999995</c:v>
                </c:pt>
                <c:pt idx="152">
                  <c:v>63.040000000000006</c:v>
                </c:pt>
                <c:pt idx="153">
                  <c:v>63.359999999999992</c:v>
                </c:pt>
                <c:pt idx="154">
                  <c:v>63.98</c:v>
                </c:pt>
                <c:pt idx="155">
                  <c:v>64.179999999999978</c:v>
                </c:pt>
                <c:pt idx="156">
                  <c:v>64.16</c:v>
                </c:pt>
                <c:pt idx="157">
                  <c:v>64.11999999999999</c:v>
                </c:pt>
                <c:pt idx="158">
                  <c:v>64.42</c:v>
                </c:pt>
                <c:pt idx="159">
                  <c:v>64.679999999999978</c:v>
                </c:pt>
                <c:pt idx="160">
                  <c:v>64.64</c:v>
                </c:pt>
                <c:pt idx="161">
                  <c:v>63.86</c:v>
                </c:pt>
                <c:pt idx="162">
                  <c:v>64.260000000000005</c:v>
                </c:pt>
                <c:pt idx="163">
                  <c:v>64.8</c:v>
                </c:pt>
                <c:pt idx="164">
                  <c:v>64.319999999999993</c:v>
                </c:pt>
                <c:pt idx="165">
                  <c:v>64.760000000000034</c:v>
                </c:pt>
                <c:pt idx="166">
                  <c:v>65.179999999999978</c:v>
                </c:pt>
                <c:pt idx="167">
                  <c:v>66.16</c:v>
                </c:pt>
                <c:pt idx="168">
                  <c:v>67.02000000000001</c:v>
                </c:pt>
                <c:pt idx="169">
                  <c:v>66.400000000000006</c:v>
                </c:pt>
                <c:pt idx="170">
                  <c:v>66.959999999999994</c:v>
                </c:pt>
                <c:pt idx="171">
                  <c:v>67.5</c:v>
                </c:pt>
                <c:pt idx="172">
                  <c:v>68.08</c:v>
                </c:pt>
                <c:pt idx="173">
                  <c:v>69.039999999999992</c:v>
                </c:pt>
                <c:pt idx="174">
                  <c:v>67.440000000000026</c:v>
                </c:pt>
                <c:pt idx="175">
                  <c:v>65.8</c:v>
                </c:pt>
                <c:pt idx="176">
                  <c:v>65.7</c:v>
                </c:pt>
                <c:pt idx="177">
                  <c:v>65.84</c:v>
                </c:pt>
                <c:pt idx="178">
                  <c:v>66.16</c:v>
                </c:pt>
                <c:pt idx="179">
                  <c:v>66.8</c:v>
                </c:pt>
                <c:pt idx="180">
                  <c:v>66.2</c:v>
                </c:pt>
                <c:pt idx="181">
                  <c:v>65.86</c:v>
                </c:pt>
                <c:pt idx="182">
                  <c:v>66.88000000000001</c:v>
                </c:pt>
                <c:pt idx="183">
                  <c:v>67.98</c:v>
                </c:pt>
                <c:pt idx="184">
                  <c:v>67.92</c:v>
                </c:pt>
                <c:pt idx="185">
                  <c:v>68.11999999999999</c:v>
                </c:pt>
                <c:pt idx="186">
                  <c:v>67.3</c:v>
                </c:pt>
                <c:pt idx="187">
                  <c:v>67</c:v>
                </c:pt>
                <c:pt idx="188">
                  <c:v>67.179999999999978</c:v>
                </c:pt>
                <c:pt idx="189">
                  <c:v>67.940000000000026</c:v>
                </c:pt>
                <c:pt idx="190">
                  <c:v>67.52000000000001</c:v>
                </c:pt>
                <c:pt idx="191">
                  <c:v>67.7</c:v>
                </c:pt>
                <c:pt idx="192">
                  <c:v>68.179999999999978</c:v>
                </c:pt>
                <c:pt idx="193">
                  <c:v>68.900000000000006</c:v>
                </c:pt>
                <c:pt idx="194">
                  <c:v>69.260000000000005</c:v>
                </c:pt>
                <c:pt idx="195">
                  <c:v>68.974999999999994</c:v>
                </c:pt>
                <c:pt idx="196">
                  <c:v>70.3</c:v>
                </c:pt>
                <c:pt idx="197">
                  <c:v>70.300000000000011</c:v>
                </c:pt>
                <c:pt idx="198">
                  <c:v>69.474999999999994</c:v>
                </c:pt>
                <c:pt idx="199">
                  <c:v>68.874999999999986</c:v>
                </c:pt>
                <c:pt idx="200">
                  <c:v>69.325000000000003</c:v>
                </c:pt>
                <c:pt idx="201">
                  <c:v>70.400000000000006</c:v>
                </c:pt>
                <c:pt idx="202">
                  <c:v>70.575000000000003</c:v>
                </c:pt>
                <c:pt idx="203">
                  <c:v>71.350000000000009</c:v>
                </c:pt>
                <c:pt idx="204">
                  <c:v>72.674999999999983</c:v>
                </c:pt>
                <c:pt idx="205">
                  <c:v>71.624999999999986</c:v>
                </c:pt>
                <c:pt idx="206">
                  <c:v>70.575000000000003</c:v>
                </c:pt>
                <c:pt idx="207">
                  <c:v>71.55</c:v>
                </c:pt>
                <c:pt idx="208">
                  <c:v>71.374999999999986</c:v>
                </c:pt>
                <c:pt idx="209">
                  <c:v>71.124999999999986</c:v>
                </c:pt>
                <c:pt idx="210">
                  <c:v>69.774999999999991</c:v>
                </c:pt>
                <c:pt idx="211">
                  <c:v>69.3</c:v>
                </c:pt>
                <c:pt idx="212">
                  <c:v>69.524999999999991</c:v>
                </c:pt>
                <c:pt idx="213">
                  <c:v>69.374999999999986</c:v>
                </c:pt>
                <c:pt idx="214">
                  <c:v>68.349999999999994</c:v>
                </c:pt>
                <c:pt idx="215">
                  <c:v>68.874999999999986</c:v>
                </c:pt>
                <c:pt idx="216">
                  <c:v>69.075000000000003</c:v>
                </c:pt>
                <c:pt idx="217">
                  <c:v>69.925000000000011</c:v>
                </c:pt>
                <c:pt idx="218">
                  <c:v>69.624999999999986</c:v>
                </c:pt>
                <c:pt idx="219">
                  <c:v>69.624999999999986</c:v>
                </c:pt>
                <c:pt idx="220">
                  <c:v>69.374999999999986</c:v>
                </c:pt>
                <c:pt idx="221">
                  <c:v>69.45</c:v>
                </c:pt>
                <c:pt idx="222">
                  <c:v>69.574999999999989</c:v>
                </c:pt>
                <c:pt idx="223">
                  <c:v>68.474999999999994</c:v>
                </c:pt>
                <c:pt idx="224">
                  <c:v>68.7</c:v>
                </c:pt>
                <c:pt idx="225">
                  <c:v>68.900000000000006</c:v>
                </c:pt>
                <c:pt idx="226">
                  <c:v>70.149999999999991</c:v>
                </c:pt>
                <c:pt idx="227">
                  <c:v>69.524999999999991</c:v>
                </c:pt>
                <c:pt idx="228">
                  <c:v>69.25</c:v>
                </c:pt>
                <c:pt idx="229">
                  <c:v>69.8</c:v>
                </c:pt>
                <c:pt idx="230">
                  <c:v>69.350000000000009</c:v>
                </c:pt>
                <c:pt idx="231">
                  <c:v>68.599999999999994</c:v>
                </c:pt>
                <c:pt idx="232">
                  <c:v>68.349999999999994</c:v>
                </c:pt>
                <c:pt idx="233">
                  <c:v>68.25</c:v>
                </c:pt>
                <c:pt idx="234">
                  <c:v>68.849999999999994</c:v>
                </c:pt>
                <c:pt idx="235">
                  <c:v>69.424999999999997</c:v>
                </c:pt>
                <c:pt idx="236">
                  <c:v>67.974999999999994</c:v>
                </c:pt>
                <c:pt idx="237">
                  <c:v>68.524999999999991</c:v>
                </c:pt>
                <c:pt idx="238">
                  <c:v>70.099999999999994</c:v>
                </c:pt>
                <c:pt idx="239">
                  <c:v>70.424999999999997</c:v>
                </c:pt>
                <c:pt idx="240">
                  <c:v>27.524999999999999</c:v>
                </c:pt>
                <c:pt idx="241">
                  <c:v>69.074999999999989</c:v>
                </c:pt>
                <c:pt idx="242">
                  <c:v>71.2</c:v>
                </c:pt>
                <c:pt idx="243">
                  <c:v>70.174999999999983</c:v>
                </c:pt>
                <c:pt idx="244">
                  <c:v>69.874999999999986</c:v>
                </c:pt>
                <c:pt idx="245">
                  <c:v>70.974999999999994</c:v>
                </c:pt>
                <c:pt idx="246">
                  <c:v>71.274999999999991</c:v>
                </c:pt>
                <c:pt idx="247">
                  <c:v>70.349999999999994</c:v>
                </c:pt>
                <c:pt idx="248">
                  <c:v>70</c:v>
                </c:pt>
                <c:pt idx="249">
                  <c:v>69.374999999999986</c:v>
                </c:pt>
                <c:pt idx="250">
                  <c:v>68.149999999999991</c:v>
                </c:pt>
                <c:pt idx="251">
                  <c:v>67.8</c:v>
                </c:pt>
                <c:pt idx="252">
                  <c:v>67.724999999999994</c:v>
                </c:pt>
                <c:pt idx="253">
                  <c:v>66.950000000000017</c:v>
                </c:pt>
                <c:pt idx="254">
                  <c:v>66.649999999999991</c:v>
                </c:pt>
                <c:pt idx="255">
                  <c:v>65.774999999999991</c:v>
                </c:pt>
                <c:pt idx="256">
                  <c:v>66.274999999999991</c:v>
                </c:pt>
                <c:pt idx="257">
                  <c:v>65.424999999999997</c:v>
                </c:pt>
                <c:pt idx="258">
                  <c:v>65.849999999999994</c:v>
                </c:pt>
                <c:pt idx="259">
                  <c:v>66.25</c:v>
                </c:pt>
                <c:pt idx="260">
                  <c:v>66.55</c:v>
                </c:pt>
                <c:pt idx="261">
                  <c:v>67.25</c:v>
                </c:pt>
                <c:pt idx="262">
                  <c:v>66.800000000000011</c:v>
                </c:pt>
                <c:pt idx="263">
                  <c:v>64.825000000000003</c:v>
                </c:pt>
                <c:pt idx="264">
                  <c:v>65</c:v>
                </c:pt>
                <c:pt idx="265">
                  <c:v>65.600000000000009</c:v>
                </c:pt>
                <c:pt idx="266">
                  <c:v>65.274999999999991</c:v>
                </c:pt>
                <c:pt idx="267">
                  <c:v>24.375</c:v>
                </c:pt>
                <c:pt idx="268">
                  <c:v>66.3</c:v>
                </c:pt>
                <c:pt idx="269">
                  <c:v>65.97999999999999</c:v>
                </c:pt>
                <c:pt idx="270">
                  <c:v>65.539999999999992</c:v>
                </c:pt>
                <c:pt idx="271">
                  <c:v>65.61999999999999</c:v>
                </c:pt>
                <c:pt idx="272">
                  <c:v>68.819999999999993</c:v>
                </c:pt>
                <c:pt idx="273">
                  <c:v>69.34</c:v>
                </c:pt>
                <c:pt idx="274">
                  <c:v>69.72</c:v>
                </c:pt>
                <c:pt idx="275">
                  <c:v>67.52000000000001</c:v>
                </c:pt>
                <c:pt idx="276">
                  <c:v>65.97999999999999</c:v>
                </c:pt>
                <c:pt idx="277">
                  <c:v>64.179999999999978</c:v>
                </c:pt>
                <c:pt idx="278">
                  <c:v>65.92</c:v>
                </c:pt>
                <c:pt idx="279">
                  <c:v>66.88</c:v>
                </c:pt>
                <c:pt idx="280">
                  <c:v>67.239999999999995</c:v>
                </c:pt>
                <c:pt idx="281">
                  <c:v>66.92</c:v>
                </c:pt>
                <c:pt idx="282">
                  <c:v>64.940000000000026</c:v>
                </c:pt>
                <c:pt idx="283">
                  <c:v>64.22</c:v>
                </c:pt>
                <c:pt idx="284">
                  <c:v>63.08</c:v>
                </c:pt>
                <c:pt idx="285">
                  <c:v>63.08</c:v>
                </c:pt>
                <c:pt idx="286">
                  <c:v>64.38000000000001</c:v>
                </c:pt>
                <c:pt idx="287">
                  <c:v>67.08</c:v>
                </c:pt>
                <c:pt idx="288">
                  <c:v>65.02</c:v>
                </c:pt>
                <c:pt idx="289">
                  <c:v>64.58</c:v>
                </c:pt>
                <c:pt idx="290">
                  <c:v>64.97999999999999</c:v>
                </c:pt>
                <c:pt idx="291">
                  <c:v>63.6</c:v>
                </c:pt>
                <c:pt idx="292">
                  <c:v>64.7</c:v>
                </c:pt>
                <c:pt idx="293">
                  <c:v>63.379999999999995</c:v>
                </c:pt>
                <c:pt idx="294">
                  <c:v>63.52</c:v>
                </c:pt>
                <c:pt idx="295">
                  <c:v>65.34</c:v>
                </c:pt>
                <c:pt idx="296">
                  <c:v>68.72</c:v>
                </c:pt>
                <c:pt idx="297">
                  <c:v>67.78</c:v>
                </c:pt>
                <c:pt idx="298">
                  <c:v>65.660000000000011</c:v>
                </c:pt>
                <c:pt idx="299">
                  <c:v>62.660000000000011</c:v>
                </c:pt>
                <c:pt idx="300">
                  <c:v>63.2</c:v>
                </c:pt>
                <c:pt idx="301">
                  <c:v>64.679999999999978</c:v>
                </c:pt>
                <c:pt idx="302">
                  <c:v>63.6</c:v>
                </c:pt>
                <c:pt idx="303">
                  <c:v>62.820000000000007</c:v>
                </c:pt>
                <c:pt idx="304">
                  <c:v>64.02000000000001</c:v>
                </c:pt>
                <c:pt idx="305">
                  <c:v>65.61999999999999</c:v>
                </c:pt>
                <c:pt idx="306">
                  <c:v>63.140000000000008</c:v>
                </c:pt>
                <c:pt idx="307">
                  <c:v>61.940000000000005</c:v>
                </c:pt>
                <c:pt idx="308">
                  <c:v>60.14</c:v>
                </c:pt>
                <c:pt idx="309">
                  <c:v>60.8</c:v>
                </c:pt>
                <c:pt idx="310">
                  <c:v>63.339999999999996</c:v>
                </c:pt>
                <c:pt idx="311">
                  <c:v>64.599999999999994</c:v>
                </c:pt>
                <c:pt idx="312">
                  <c:v>64.28</c:v>
                </c:pt>
                <c:pt idx="313">
                  <c:v>61.620000000000012</c:v>
                </c:pt>
                <c:pt idx="314">
                  <c:v>60.48</c:v>
                </c:pt>
                <c:pt idx="315">
                  <c:v>59.839999999999996</c:v>
                </c:pt>
                <c:pt idx="316">
                  <c:v>60.2</c:v>
                </c:pt>
                <c:pt idx="317">
                  <c:v>63.220000000000013</c:v>
                </c:pt>
                <c:pt idx="318">
                  <c:v>64.14</c:v>
                </c:pt>
                <c:pt idx="319">
                  <c:v>67.36</c:v>
                </c:pt>
                <c:pt idx="320">
                  <c:v>67.2</c:v>
                </c:pt>
                <c:pt idx="321">
                  <c:v>64.58</c:v>
                </c:pt>
                <c:pt idx="322">
                  <c:v>63.7</c:v>
                </c:pt>
                <c:pt idx="323">
                  <c:v>62.3</c:v>
                </c:pt>
                <c:pt idx="324">
                  <c:v>63.280000000000008</c:v>
                </c:pt>
                <c:pt idx="325">
                  <c:v>62.339999999999996</c:v>
                </c:pt>
                <c:pt idx="326">
                  <c:v>61.92</c:v>
                </c:pt>
                <c:pt idx="327">
                  <c:v>59.36</c:v>
                </c:pt>
                <c:pt idx="328">
                  <c:v>59.46</c:v>
                </c:pt>
                <c:pt idx="329">
                  <c:v>59.339999999999996</c:v>
                </c:pt>
                <c:pt idx="330">
                  <c:v>60.04</c:v>
                </c:pt>
                <c:pt idx="331">
                  <c:v>59.02</c:v>
                </c:pt>
                <c:pt idx="332">
                  <c:v>59.260000000000012</c:v>
                </c:pt>
                <c:pt idx="333">
                  <c:v>57.54</c:v>
                </c:pt>
                <c:pt idx="334">
                  <c:v>56.46</c:v>
                </c:pt>
                <c:pt idx="335">
                  <c:v>56.06</c:v>
                </c:pt>
                <c:pt idx="336">
                  <c:v>56.220000000000013</c:v>
                </c:pt>
                <c:pt idx="337">
                  <c:v>57.98</c:v>
                </c:pt>
                <c:pt idx="338">
                  <c:v>58.580000000000005</c:v>
                </c:pt>
                <c:pt idx="339">
                  <c:v>58.7</c:v>
                </c:pt>
                <c:pt idx="340">
                  <c:v>57.02</c:v>
                </c:pt>
                <c:pt idx="341">
                  <c:v>57.2</c:v>
                </c:pt>
                <c:pt idx="342">
                  <c:v>57.320000000000007</c:v>
                </c:pt>
                <c:pt idx="343">
                  <c:v>57.180000000000007</c:v>
                </c:pt>
                <c:pt idx="344">
                  <c:v>59.6</c:v>
                </c:pt>
                <c:pt idx="345">
                  <c:v>60.5</c:v>
                </c:pt>
                <c:pt idx="346">
                  <c:v>56.94</c:v>
                </c:pt>
                <c:pt idx="347">
                  <c:v>56.56</c:v>
                </c:pt>
                <c:pt idx="348">
                  <c:v>56.54</c:v>
                </c:pt>
                <c:pt idx="349">
                  <c:v>56.46</c:v>
                </c:pt>
                <c:pt idx="350">
                  <c:v>55.760000000000012</c:v>
                </c:pt>
                <c:pt idx="351">
                  <c:v>54.54</c:v>
                </c:pt>
                <c:pt idx="352">
                  <c:v>55.02</c:v>
                </c:pt>
                <c:pt idx="353">
                  <c:v>56.280000000000008</c:v>
                </c:pt>
                <c:pt idx="354">
                  <c:v>56.86</c:v>
                </c:pt>
                <c:pt idx="355">
                  <c:v>56.64</c:v>
                </c:pt>
                <c:pt idx="356">
                  <c:v>55.8</c:v>
                </c:pt>
                <c:pt idx="357">
                  <c:v>56.280000000000008</c:v>
                </c:pt>
                <c:pt idx="358">
                  <c:v>56.820000000000007</c:v>
                </c:pt>
                <c:pt idx="359">
                  <c:v>57.2</c:v>
                </c:pt>
                <c:pt idx="360">
                  <c:v>54.64</c:v>
                </c:pt>
                <c:pt idx="361">
                  <c:v>54.339999999999996</c:v>
                </c:pt>
                <c:pt idx="362">
                  <c:v>54.720000000000013</c:v>
                </c:pt>
                <c:pt idx="363">
                  <c:v>56.220000000000013</c:v>
                </c:pt>
                <c:pt idx="364">
                  <c:v>54.6</c:v>
                </c:pt>
                <c:pt idx="365">
                  <c:v>54.08</c:v>
                </c:pt>
              </c:numCache>
            </c:numRef>
          </c:val>
        </c:ser>
        <c:marker val="1"/>
        <c:axId val="104371328"/>
        <c:axId val="104372864"/>
      </c:lineChart>
      <c:dateAx>
        <c:axId val="104371328"/>
        <c:scaling>
          <c:orientation val="minMax"/>
        </c:scaling>
        <c:axPos val="b"/>
        <c:numFmt formatCode="mmm" sourceLinked="0"/>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04372864"/>
        <c:crosses val="autoZero"/>
        <c:auto val="1"/>
        <c:lblOffset val="100"/>
        <c:baseTimeUnit val="days"/>
        <c:majorUnit val="1"/>
        <c:majorTimeUnit val="months"/>
        <c:minorUnit val="1"/>
        <c:minorTimeUnit val="months"/>
      </c:dateAx>
      <c:valAx>
        <c:axId val="104372864"/>
        <c:scaling>
          <c:orientation val="minMax"/>
          <c:min val="40"/>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04371328"/>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9395017793594332E-2"/>
          <c:y val="6.8493150684931503E-2"/>
          <c:w val="0.91281138790035488"/>
          <c:h val="0.71575342465753511"/>
        </c:manualLayout>
      </c:layout>
      <c:lineChart>
        <c:grouping val="standard"/>
        <c:ser>
          <c:idx val="0"/>
          <c:order val="0"/>
          <c:tx>
            <c:strRef>
              <c:f>'HDD&amp;CDD'!$AI$1</c:f>
              <c:strCache>
                <c:ptCount val="1"/>
                <c:pt idx="0">
                  <c:v>my HDD</c:v>
                </c:pt>
              </c:strCache>
            </c:strRef>
          </c:tx>
          <c:spPr>
            <a:ln w="12700">
              <a:solidFill>
                <a:srgbClr val="000080"/>
              </a:solidFill>
              <a:prstDash val="solid"/>
            </a:ln>
          </c:spPr>
          <c:marker>
            <c:symbol val="none"/>
          </c:marker>
          <c:cat>
            <c:numRef>
              <c:f>'HDD&amp;CDD'!$AH$2:$AH$368</c:f>
              <c:numCache>
                <c:formatCode>mmm\ dd</c:formatCode>
                <c:ptCount val="367"/>
                <c:pt idx="0">
                  <c:v>39814</c:v>
                </c:pt>
                <c:pt idx="1">
                  <c:v>39815</c:v>
                </c:pt>
                <c:pt idx="2">
                  <c:v>39816</c:v>
                </c:pt>
                <c:pt idx="3">
                  <c:v>39817</c:v>
                </c:pt>
                <c:pt idx="4">
                  <c:v>39818</c:v>
                </c:pt>
                <c:pt idx="5">
                  <c:v>39819</c:v>
                </c:pt>
                <c:pt idx="6">
                  <c:v>39820</c:v>
                </c:pt>
                <c:pt idx="7">
                  <c:v>39821</c:v>
                </c:pt>
                <c:pt idx="8">
                  <c:v>39822</c:v>
                </c:pt>
                <c:pt idx="9">
                  <c:v>39823</c:v>
                </c:pt>
                <c:pt idx="10">
                  <c:v>39824</c:v>
                </c:pt>
                <c:pt idx="11">
                  <c:v>39825</c:v>
                </c:pt>
                <c:pt idx="12">
                  <c:v>39826</c:v>
                </c:pt>
                <c:pt idx="13">
                  <c:v>39827</c:v>
                </c:pt>
                <c:pt idx="14">
                  <c:v>39828</c:v>
                </c:pt>
                <c:pt idx="15">
                  <c:v>39829</c:v>
                </c:pt>
                <c:pt idx="16">
                  <c:v>39830</c:v>
                </c:pt>
                <c:pt idx="17">
                  <c:v>39831</c:v>
                </c:pt>
                <c:pt idx="18">
                  <c:v>39832</c:v>
                </c:pt>
                <c:pt idx="19">
                  <c:v>39833</c:v>
                </c:pt>
                <c:pt idx="20">
                  <c:v>39834</c:v>
                </c:pt>
                <c:pt idx="21">
                  <c:v>39835</c:v>
                </c:pt>
                <c:pt idx="22">
                  <c:v>39836</c:v>
                </c:pt>
                <c:pt idx="23">
                  <c:v>39837</c:v>
                </c:pt>
                <c:pt idx="24">
                  <c:v>39838</c:v>
                </c:pt>
                <c:pt idx="25">
                  <c:v>39839</c:v>
                </c:pt>
                <c:pt idx="26">
                  <c:v>39840</c:v>
                </c:pt>
                <c:pt idx="27">
                  <c:v>39841</c:v>
                </c:pt>
                <c:pt idx="28">
                  <c:v>39842</c:v>
                </c:pt>
                <c:pt idx="29">
                  <c:v>39843</c:v>
                </c:pt>
                <c:pt idx="30">
                  <c:v>39844</c:v>
                </c:pt>
                <c:pt idx="31">
                  <c:v>39845</c:v>
                </c:pt>
                <c:pt idx="32">
                  <c:v>39846</c:v>
                </c:pt>
                <c:pt idx="33">
                  <c:v>39847</c:v>
                </c:pt>
                <c:pt idx="34">
                  <c:v>39848</c:v>
                </c:pt>
                <c:pt idx="35">
                  <c:v>39849</c:v>
                </c:pt>
                <c:pt idx="36">
                  <c:v>39850</c:v>
                </c:pt>
                <c:pt idx="37">
                  <c:v>39851</c:v>
                </c:pt>
                <c:pt idx="38">
                  <c:v>39852</c:v>
                </c:pt>
                <c:pt idx="39">
                  <c:v>39853</c:v>
                </c:pt>
                <c:pt idx="40">
                  <c:v>39854</c:v>
                </c:pt>
                <c:pt idx="41">
                  <c:v>39855</c:v>
                </c:pt>
                <c:pt idx="42">
                  <c:v>39856</c:v>
                </c:pt>
                <c:pt idx="43">
                  <c:v>39857</c:v>
                </c:pt>
                <c:pt idx="44">
                  <c:v>39858</c:v>
                </c:pt>
                <c:pt idx="45">
                  <c:v>39859</c:v>
                </c:pt>
                <c:pt idx="46">
                  <c:v>39860</c:v>
                </c:pt>
                <c:pt idx="47">
                  <c:v>39861</c:v>
                </c:pt>
                <c:pt idx="48">
                  <c:v>39862</c:v>
                </c:pt>
                <c:pt idx="49">
                  <c:v>39863</c:v>
                </c:pt>
                <c:pt idx="50">
                  <c:v>39864</c:v>
                </c:pt>
                <c:pt idx="51">
                  <c:v>39865</c:v>
                </c:pt>
                <c:pt idx="52">
                  <c:v>39866</c:v>
                </c:pt>
                <c:pt idx="53">
                  <c:v>39867</c:v>
                </c:pt>
                <c:pt idx="54">
                  <c:v>39868</c:v>
                </c:pt>
                <c:pt idx="55">
                  <c:v>39869</c:v>
                </c:pt>
                <c:pt idx="56">
                  <c:v>39870</c:v>
                </c:pt>
                <c:pt idx="57">
                  <c:v>39871</c:v>
                </c:pt>
                <c:pt idx="58">
                  <c:v>39872</c:v>
                </c:pt>
                <c:pt idx="59">
                  <c:v>39873</c:v>
                </c:pt>
                <c:pt idx="60">
                  <c:v>39873</c:v>
                </c:pt>
                <c:pt idx="61">
                  <c:v>39874</c:v>
                </c:pt>
                <c:pt idx="62">
                  <c:v>39875</c:v>
                </c:pt>
                <c:pt idx="63">
                  <c:v>39876</c:v>
                </c:pt>
                <c:pt idx="64">
                  <c:v>39877</c:v>
                </c:pt>
                <c:pt idx="65">
                  <c:v>39878</c:v>
                </c:pt>
                <c:pt idx="66">
                  <c:v>39879</c:v>
                </c:pt>
                <c:pt idx="67">
                  <c:v>39880</c:v>
                </c:pt>
                <c:pt idx="68">
                  <c:v>39881</c:v>
                </c:pt>
                <c:pt idx="69">
                  <c:v>39882</c:v>
                </c:pt>
                <c:pt idx="70">
                  <c:v>39883</c:v>
                </c:pt>
                <c:pt idx="71">
                  <c:v>39884</c:v>
                </c:pt>
                <c:pt idx="72">
                  <c:v>39885</c:v>
                </c:pt>
                <c:pt idx="73">
                  <c:v>39886</c:v>
                </c:pt>
                <c:pt idx="74">
                  <c:v>39887</c:v>
                </c:pt>
                <c:pt idx="75">
                  <c:v>39888</c:v>
                </c:pt>
                <c:pt idx="76">
                  <c:v>39889</c:v>
                </c:pt>
                <c:pt idx="77">
                  <c:v>39890</c:v>
                </c:pt>
                <c:pt idx="78">
                  <c:v>39891</c:v>
                </c:pt>
                <c:pt idx="79">
                  <c:v>39892</c:v>
                </c:pt>
                <c:pt idx="80">
                  <c:v>39893</c:v>
                </c:pt>
                <c:pt idx="81">
                  <c:v>39894</c:v>
                </c:pt>
                <c:pt idx="82">
                  <c:v>39895</c:v>
                </c:pt>
                <c:pt idx="83">
                  <c:v>39896</c:v>
                </c:pt>
                <c:pt idx="84">
                  <c:v>39897</c:v>
                </c:pt>
                <c:pt idx="85">
                  <c:v>39898</c:v>
                </c:pt>
                <c:pt idx="86">
                  <c:v>39899</c:v>
                </c:pt>
                <c:pt idx="87">
                  <c:v>39900</c:v>
                </c:pt>
                <c:pt idx="88">
                  <c:v>39901</c:v>
                </c:pt>
                <c:pt idx="89">
                  <c:v>39902</c:v>
                </c:pt>
                <c:pt idx="90">
                  <c:v>39903</c:v>
                </c:pt>
                <c:pt idx="91">
                  <c:v>39904</c:v>
                </c:pt>
                <c:pt idx="92">
                  <c:v>39905</c:v>
                </c:pt>
                <c:pt idx="93">
                  <c:v>39906</c:v>
                </c:pt>
                <c:pt idx="94">
                  <c:v>39907</c:v>
                </c:pt>
                <c:pt idx="95">
                  <c:v>39908</c:v>
                </c:pt>
                <c:pt idx="96">
                  <c:v>39909</c:v>
                </c:pt>
                <c:pt idx="97">
                  <c:v>39910</c:v>
                </c:pt>
                <c:pt idx="98">
                  <c:v>39911</c:v>
                </c:pt>
                <c:pt idx="99">
                  <c:v>39912</c:v>
                </c:pt>
                <c:pt idx="100">
                  <c:v>39913</c:v>
                </c:pt>
                <c:pt idx="101">
                  <c:v>39914</c:v>
                </c:pt>
                <c:pt idx="102">
                  <c:v>39915</c:v>
                </c:pt>
                <c:pt idx="103">
                  <c:v>39916</c:v>
                </c:pt>
                <c:pt idx="104">
                  <c:v>39917</c:v>
                </c:pt>
                <c:pt idx="105">
                  <c:v>39918</c:v>
                </c:pt>
                <c:pt idx="106">
                  <c:v>39919</c:v>
                </c:pt>
                <c:pt idx="107">
                  <c:v>39920</c:v>
                </c:pt>
                <c:pt idx="108">
                  <c:v>39921</c:v>
                </c:pt>
                <c:pt idx="109">
                  <c:v>39922</c:v>
                </c:pt>
                <c:pt idx="110">
                  <c:v>39923</c:v>
                </c:pt>
                <c:pt idx="111">
                  <c:v>39924</c:v>
                </c:pt>
                <c:pt idx="112">
                  <c:v>39925</c:v>
                </c:pt>
                <c:pt idx="113">
                  <c:v>39926</c:v>
                </c:pt>
                <c:pt idx="114">
                  <c:v>39927</c:v>
                </c:pt>
                <c:pt idx="115">
                  <c:v>39928</c:v>
                </c:pt>
                <c:pt idx="116">
                  <c:v>39929</c:v>
                </c:pt>
                <c:pt idx="117">
                  <c:v>39930</c:v>
                </c:pt>
                <c:pt idx="118">
                  <c:v>39931</c:v>
                </c:pt>
                <c:pt idx="119">
                  <c:v>39932</c:v>
                </c:pt>
                <c:pt idx="120">
                  <c:v>39933</c:v>
                </c:pt>
                <c:pt idx="121">
                  <c:v>39934</c:v>
                </c:pt>
                <c:pt idx="122">
                  <c:v>39935</c:v>
                </c:pt>
                <c:pt idx="123">
                  <c:v>39936</c:v>
                </c:pt>
                <c:pt idx="124">
                  <c:v>39937</c:v>
                </c:pt>
                <c:pt idx="125">
                  <c:v>39938</c:v>
                </c:pt>
                <c:pt idx="126">
                  <c:v>39939</c:v>
                </c:pt>
                <c:pt idx="127">
                  <c:v>39940</c:v>
                </c:pt>
                <c:pt idx="128">
                  <c:v>39941</c:v>
                </c:pt>
                <c:pt idx="129">
                  <c:v>39942</c:v>
                </c:pt>
                <c:pt idx="130">
                  <c:v>39943</c:v>
                </c:pt>
                <c:pt idx="131">
                  <c:v>39944</c:v>
                </c:pt>
                <c:pt idx="132">
                  <c:v>39945</c:v>
                </c:pt>
                <c:pt idx="133">
                  <c:v>39946</c:v>
                </c:pt>
                <c:pt idx="134">
                  <c:v>39947</c:v>
                </c:pt>
                <c:pt idx="135">
                  <c:v>39948</c:v>
                </c:pt>
                <c:pt idx="136">
                  <c:v>39949</c:v>
                </c:pt>
                <c:pt idx="137">
                  <c:v>39950</c:v>
                </c:pt>
                <c:pt idx="138">
                  <c:v>39951</c:v>
                </c:pt>
                <c:pt idx="139">
                  <c:v>39952</c:v>
                </c:pt>
                <c:pt idx="140">
                  <c:v>39953</c:v>
                </c:pt>
                <c:pt idx="141">
                  <c:v>39954</c:v>
                </c:pt>
                <c:pt idx="142">
                  <c:v>39955</c:v>
                </c:pt>
                <c:pt idx="143">
                  <c:v>39956</c:v>
                </c:pt>
                <c:pt idx="144">
                  <c:v>39957</c:v>
                </c:pt>
                <c:pt idx="145">
                  <c:v>39958</c:v>
                </c:pt>
                <c:pt idx="146">
                  <c:v>39959</c:v>
                </c:pt>
                <c:pt idx="147">
                  <c:v>39960</c:v>
                </c:pt>
                <c:pt idx="148">
                  <c:v>39961</c:v>
                </c:pt>
                <c:pt idx="149">
                  <c:v>39962</c:v>
                </c:pt>
                <c:pt idx="150">
                  <c:v>39963</c:v>
                </c:pt>
                <c:pt idx="151">
                  <c:v>39964</c:v>
                </c:pt>
                <c:pt idx="152">
                  <c:v>39965</c:v>
                </c:pt>
                <c:pt idx="153">
                  <c:v>39966</c:v>
                </c:pt>
                <c:pt idx="154">
                  <c:v>39967</c:v>
                </c:pt>
                <c:pt idx="155">
                  <c:v>39968</c:v>
                </c:pt>
                <c:pt idx="156">
                  <c:v>39969</c:v>
                </c:pt>
                <c:pt idx="157">
                  <c:v>39970</c:v>
                </c:pt>
                <c:pt idx="158">
                  <c:v>39971</c:v>
                </c:pt>
                <c:pt idx="159">
                  <c:v>39972</c:v>
                </c:pt>
                <c:pt idx="160">
                  <c:v>39973</c:v>
                </c:pt>
                <c:pt idx="161">
                  <c:v>39974</c:v>
                </c:pt>
                <c:pt idx="162">
                  <c:v>39975</c:v>
                </c:pt>
                <c:pt idx="163">
                  <c:v>39976</c:v>
                </c:pt>
                <c:pt idx="164">
                  <c:v>39977</c:v>
                </c:pt>
                <c:pt idx="165">
                  <c:v>39978</c:v>
                </c:pt>
                <c:pt idx="166">
                  <c:v>39979</c:v>
                </c:pt>
                <c:pt idx="167">
                  <c:v>39980</c:v>
                </c:pt>
                <c:pt idx="168">
                  <c:v>39981</c:v>
                </c:pt>
                <c:pt idx="169">
                  <c:v>39982</c:v>
                </c:pt>
                <c:pt idx="170">
                  <c:v>39983</c:v>
                </c:pt>
                <c:pt idx="171">
                  <c:v>39984</c:v>
                </c:pt>
                <c:pt idx="172">
                  <c:v>39985</c:v>
                </c:pt>
                <c:pt idx="173">
                  <c:v>39986</c:v>
                </c:pt>
                <c:pt idx="174">
                  <c:v>39987</c:v>
                </c:pt>
                <c:pt idx="175">
                  <c:v>39988</c:v>
                </c:pt>
                <c:pt idx="176">
                  <c:v>39989</c:v>
                </c:pt>
                <c:pt idx="177">
                  <c:v>39990</c:v>
                </c:pt>
                <c:pt idx="178">
                  <c:v>39991</c:v>
                </c:pt>
                <c:pt idx="179">
                  <c:v>39992</c:v>
                </c:pt>
                <c:pt idx="180">
                  <c:v>39993</c:v>
                </c:pt>
                <c:pt idx="181">
                  <c:v>39994</c:v>
                </c:pt>
                <c:pt idx="182">
                  <c:v>39995</c:v>
                </c:pt>
                <c:pt idx="183">
                  <c:v>39996</c:v>
                </c:pt>
                <c:pt idx="184">
                  <c:v>39997</c:v>
                </c:pt>
                <c:pt idx="185">
                  <c:v>39998</c:v>
                </c:pt>
                <c:pt idx="186">
                  <c:v>39999</c:v>
                </c:pt>
                <c:pt idx="187">
                  <c:v>40000</c:v>
                </c:pt>
                <c:pt idx="188">
                  <c:v>40001</c:v>
                </c:pt>
                <c:pt idx="189">
                  <c:v>40002</c:v>
                </c:pt>
                <c:pt idx="190">
                  <c:v>40003</c:v>
                </c:pt>
                <c:pt idx="191">
                  <c:v>40004</c:v>
                </c:pt>
                <c:pt idx="192">
                  <c:v>40005</c:v>
                </c:pt>
                <c:pt idx="193">
                  <c:v>40006</c:v>
                </c:pt>
                <c:pt idx="194">
                  <c:v>40007</c:v>
                </c:pt>
                <c:pt idx="195">
                  <c:v>40008</c:v>
                </c:pt>
                <c:pt idx="196">
                  <c:v>40009</c:v>
                </c:pt>
                <c:pt idx="197">
                  <c:v>40010</c:v>
                </c:pt>
                <c:pt idx="198">
                  <c:v>40011</c:v>
                </c:pt>
                <c:pt idx="199">
                  <c:v>40012</c:v>
                </c:pt>
                <c:pt idx="200">
                  <c:v>40013</c:v>
                </c:pt>
                <c:pt idx="201">
                  <c:v>40014</c:v>
                </c:pt>
                <c:pt idx="202">
                  <c:v>40015</c:v>
                </c:pt>
                <c:pt idx="203">
                  <c:v>40016</c:v>
                </c:pt>
                <c:pt idx="204">
                  <c:v>40017</c:v>
                </c:pt>
                <c:pt idx="205">
                  <c:v>40018</c:v>
                </c:pt>
                <c:pt idx="206">
                  <c:v>40019</c:v>
                </c:pt>
                <c:pt idx="207">
                  <c:v>40020</c:v>
                </c:pt>
                <c:pt idx="208">
                  <c:v>40021</c:v>
                </c:pt>
                <c:pt idx="209">
                  <c:v>40022</c:v>
                </c:pt>
                <c:pt idx="210">
                  <c:v>40023</c:v>
                </c:pt>
                <c:pt idx="211">
                  <c:v>40024</c:v>
                </c:pt>
                <c:pt idx="212">
                  <c:v>40025</c:v>
                </c:pt>
                <c:pt idx="213">
                  <c:v>40026</c:v>
                </c:pt>
                <c:pt idx="214">
                  <c:v>40027</c:v>
                </c:pt>
                <c:pt idx="215">
                  <c:v>40028</c:v>
                </c:pt>
                <c:pt idx="216">
                  <c:v>40029</c:v>
                </c:pt>
                <c:pt idx="217">
                  <c:v>40030</c:v>
                </c:pt>
                <c:pt idx="218">
                  <c:v>40031</c:v>
                </c:pt>
                <c:pt idx="219">
                  <c:v>40032</c:v>
                </c:pt>
                <c:pt idx="220">
                  <c:v>40033</c:v>
                </c:pt>
                <c:pt idx="221">
                  <c:v>40034</c:v>
                </c:pt>
                <c:pt idx="222">
                  <c:v>40035</c:v>
                </c:pt>
                <c:pt idx="223">
                  <c:v>40036</c:v>
                </c:pt>
                <c:pt idx="224">
                  <c:v>40037</c:v>
                </c:pt>
                <c:pt idx="225">
                  <c:v>40038</c:v>
                </c:pt>
                <c:pt idx="226">
                  <c:v>40039</c:v>
                </c:pt>
                <c:pt idx="227">
                  <c:v>40040</c:v>
                </c:pt>
                <c:pt idx="228">
                  <c:v>40041</c:v>
                </c:pt>
                <c:pt idx="229">
                  <c:v>40042</c:v>
                </c:pt>
                <c:pt idx="230">
                  <c:v>40043</c:v>
                </c:pt>
                <c:pt idx="231">
                  <c:v>40044</c:v>
                </c:pt>
                <c:pt idx="232">
                  <c:v>40045</c:v>
                </c:pt>
                <c:pt idx="233">
                  <c:v>40046</c:v>
                </c:pt>
                <c:pt idx="234">
                  <c:v>40047</c:v>
                </c:pt>
                <c:pt idx="235">
                  <c:v>40048</c:v>
                </c:pt>
                <c:pt idx="236">
                  <c:v>40049</c:v>
                </c:pt>
                <c:pt idx="237">
                  <c:v>40050</c:v>
                </c:pt>
                <c:pt idx="238">
                  <c:v>40051</c:v>
                </c:pt>
                <c:pt idx="239">
                  <c:v>40052</c:v>
                </c:pt>
                <c:pt idx="240">
                  <c:v>40053</c:v>
                </c:pt>
                <c:pt idx="241">
                  <c:v>40054</c:v>
                </c:pt>
                <c:pt idx="242">
                  <c:v>40055</c:v>
                </c:pt>
                <c:pt idx="243">
                  <c:v>40056</c:v>
                </c:pt>
                <c:pt idx="244">
                  <c:v>40057</c:v>
                </c:pt>
                <c:pt idx="245">
                  <c:v>40058</c:v>
                </c:pt>
                <c:pt idx="246">
                  <c:v>40059</c:v>
                </c:pt>
                <c:pt idx="247">
                  <c:v>40060</c:v>
                </c:pt>
                <c:pt idx="248">
                  <c:v>40061</c:v>
                </c:pt>
                <c:pt idx="249">
                  <c:v>40062</c:v>
                </c:pt>
                <c:pt idx="250">
                  <c:v>40063</c:v>
                </c:pt>
                <c:pt idx="251">
                  <c:v>40064</c:v>
                </c:pt>
                <c:pt idx="252">
                  <c:v>40065</c:v>
                </c:pt>
                <c:pt idx="253">
                  <c:v>40066</c:v>
                </c:pt>
                <c:pt idx="254">
                  <c:v>40067</c:v>
                </c:pt>
                <c:pt idx="255">
                  <c:v>40068</c:v>
                </c:pt>
                <c:pt idx="256">
                  <c:v>40069</c:v>
                </c:pt>
                <c:pt idx="257">
                  <c:v>40070</c:v>
                </c:pt>
                <c:pt idx="258">
                  <c:v>40071</c:v>
                </c:pt>
                <c:pt idx="259">
                  <c:v>40072</c:v>
                </c:pt>
                <c:pt idx="260">
                  <c:v>40073</c:v>
                </c:pt>
                <c:pt idx="261">
                  <c:v>40074</c:v>
                </c:pt>
                <c:pt idx="262">
                  <c:v>40075</c:v>
                </c:pt>
                <c:pt idx="263">
                  <c:v>40076</c:v>
                </c:pt>
                <c:pt idx="264">
                  <c:v>40077</c:v>
                </c:pt>
                <c:pt idx="265">
                  <c:v>40078</c:v>
                </c:pt>
                <c:pt idx="266">
                  <c:v>40079</c:v>
                </c:pt>
                <c:pt idx="267">
                  <c:v>40080</c:v>
                </c:pt>
                <c:pt idx="268">
                  <c:v>40081</c:v>
                </c:pt>
                <c:pt idx="269">
                  <c:v>40082</c:v>
                </c:pt>
                <c:pt idx="270">
                  <c:v>40083</c:v>
                </c:pt>
                <c:pt idx="271">
                  <c:v>40084</c:v>
                </c:pt>
                <c:pt idx="272">
                  <c:v>40085</c:v>
                </c:pt>
                <c:pt idx="273">
                  <c:v>40086</c:v>
                </c:pt>
                <c:pt idx="274">
                  <c:v>40087</c:v>
                </c:pt>
                <c:pt idx="275">
                  <c:v>40088</c:v>
                </c:pt>
                <c:pt idx="276">
                  <c:v>40089</c:v>
                </c:pt>
                <c:pt idx="277">
                  <c:v>40090</c:v>
                </c:pt>
                <c:pt idx="278">
                  <c:v>40091</c:v>
                </c:pt>
                <c:pt idx="279">
                  <c:v>40092</c:v>
                </c:pt>
                <c:pt idx="280">
                  <c:v>40093</c:v>
                </c:pt>
                <c:pt idx="281">
                  <c:v>40094</c:v>
                </c:pt>
                <c:pt idx="282">
                  <c:v>40095</c:v>
                </c:pt>
                <c:pt idx="283">
                  <c:v>40096</c:v>
                </c:pt>
                <c:pt idx="284">
                  <c:v>40097</c:v>
                </c:pt>
                <c:pt idx="285">
                  <c:v>40098</c:v>
                </c:pt>
                <c:pt idx="286">
                  <c:v>40099</c:v>
                </c:pt>
                <c:pt idx="287">
                  <c:v>40100</c:v>
                </c:pt>
                <c:pt idx="288">
                  <c:v>40101</c:v>
                </c:pt>
                <c:pt idx="289">
                  <c:v>40102</c:v>
                </c:pt>
                <c:pt idx="290">
                  <c:v>40103</c:v>
                </c:pt>
                <c:pt idx="291">
                  <c:v>40104</c:v>
                </c:pt>
                <c:pt idx="292">
                  <c:v>40105</c:v>
                </c:pt>
                <c:pt idx="293">
                  <c:v>40106</c:v>
                </c:pt>
                <c:pt idx="294">
                  <c:v>40107</c:v>
                </c:pt>
                <c:pt idx="295">
                  <c:v>40108</c:v>
                </c:pt>
                <c:pt idx="296">
                  <c:v>40109</c:v>
                </c:pt>
                <c:pt idx="297">
                  <c:v>40110</c:v>
                </c:pt>
                <c:pt idx="298">
                  <c:v>40111</c:v>
                </c:pt>
                <c:pt idx="299">
                  <c:v>40112</c:v>
                </c:pt>
                <c:pt idx="300">
                  <c:v>40113</c:v>
                </c:pt>
                <c:pt idx="301">
                  <c:v>40114</c:v>
                </c:pt>
                <c:pt idx="302">
                  <c:v>40115</c:v>
                </c:pt>
                <c:pt idx="303">
                  <c:v>40116</c:v>
                </c:pt>
                <c:pt idx="304">
                  <c:v>40117</c:v>
                </c:pt>
                <c:pt idx="305">
                  <c:v>40118</c:v>
                </c:pt>
                <c:pt idx="306">
                  <c:v>40119</c:v>
                </c:pt>
                <c:pt idx="307">
                  <c:v>40120</c:v>
                </c:pt>
                <c:pt idx="308">
                  <c:v>40121</c:v>
                </c:pt>
                <c:pt idx="309">
                  <c:v>40122</c:v>
                </c:pt>
                <c:pt idx="310">
                  <c:v>40123</c:v>
                </c:pt>
                <c:pt idx="311">
                  <c:v>40124</c:v>
                </c:pt>
                <c:pt idx="312">
                  <c:v>40125</c:v>
                </c:pt>
                <c:pt idx="313">
                  <c:v>40126</c:v>
                </c:pt>
                <c:pt idx="314">
                  <c:v>40127</c:v>
                </c:pt>
                <c:pt idx="315">
                  <c:v>40128</c:v>
                </c:pt>
                <c:pt idx="316">
                  <c:v>40129</c:v>
                </c:pt>
                <c:pt idx="317">
                  <c:v>40130</c:v>
                </c:pt>
                <c:pt idx="318">
                  <c:v>40131</c:v>
                </c:pt>
                <c:pt idx="319">
                  <c:v>40132</c:v>
                </c:pt>
                <c:pt idx="320">
                  <c:v>40133</c:v>
                </c:pt>
                <c:pt idx="321">
                  <c:v>40134</c:v>
                </c:pt>
                <c:pt idx="322">
                  <c:v>40135</c:v>
                </c:pt>
                <c:pt idx="323">
                  <c:v>40136</c:v>
                </c:pt>
                <c:pt idx="324">
                  <c:v>40137</c:v>
                </c:pt>
                <c:pt idx="325">
                  <c:v>40138</c:v>
                </c:pt>
                <c:pt idx="326">
                  <c:v>40139</c:v>
                </c:pt>
                <c:pt idx="327">
                  <c:v>40140</c:v>
                </c:pt>
                <c:pt idx="328">
                  <c:v>40141</c:v>
                </c:pt>
                <c:pt idx="329">
                  <c:v>40142</c:v>
                </c:pt>
                <c:pt idx="330">
                  <c:v>40143</c:v>
                </c:pt>
                <c:pt idx="331">
                  <c:v>40144</c:v>
                </c:pt>
                <c:pt idx="332">
                  <c:v>40145</c:v>
                </c:pt>
                <c:pt idx="333">
                  <c:v>40146</c:v>
                </c:pt>
                <c:pt idx="334">
                  <c:v>40147</c:v>
                </c:pt>
                <c:pt idx="335">
                  <c:v>40148</c:v>
                </c:pt>
                <c:pt idx="336">
                  <c:v>40149</c:v>
                </c:pt>
                <c:pt idx="337">
                  <c:v>40150</c:v>
                </c:pt>
                <c:pt idx="338">
                  <c:v>40151</c:v>
                </c:pt>
                <c:pt idx="339">
                  <c:v>40152</c:v>
                </c:pt>
                <c:pt idx="340">
                  <c:v>40153</c:v>
                </c:pt>
                <c:pt idx="341">
                  <c:v>40154</c:v>
                </c:pt>
                <c:pt idx="342">
                  <c:v>40155</c:v>
                </c:pt>
                <c:pt idx="343">
                  <c:v>40156</c:v>
                </c:pt>
                <c:pt idx="344">
                  <c:v>40157</c:v>
                </c:pt>
                <c:pt idx="345">
                  <c:v>40158</c:v>
                </c:pt>
                <c:pt idx="346">
                  <c:v>40159</c:v>
                </c:pt>
                <c:pt idx="347">
                  <c:v>40160</c:v>
                </c:pt>
                <c:pt idx="348">
                  <c:v>40161</c:v>
                </c:pt>
                <c:pt idx="349">
                  <c:v>40162</c:v>
                </c:pt>
                <c:pt idx="350">
                  <c:v>40163</c:v>
                </c:pt>
                <c:pt idx="351">
                  <c:v>40164</c:v>
                </c:pt>
                <c:pt idx="352">
                  <c:v>40165</c:v>
                </c:pt>
                <c:pt idx="353">
                  <c:v>40166</c:v>
                </c:pt>
                <c:pt idx="354">
                  <c:v>40167</c:v>
                </c:pt>
                <c:pt idx="355">
                  <c:v>40168</c:v>
                </c:pt>
                <c:pt idx="356">
                  <c:v>40169</c:v>
                </c:pt>
                <c:pt idx="357">
                  <c:v>40170</c:v>
                </c:pt>
                <c:pt idx="358">
                  <c:v>40171</c:v>
                </c:pt>
                <c:pt idx="359">
                  <c:v>40172</c:v>
                </c:pt>
                <c:pt idx="360">
                  <c:v>40173</c:v>
                </c:pt>
                <c:pt idx="361">
                  <c:v>40174</c:v>
                </c:pt>
                <c:pt idx="362">
                  <c:v>40175</c:v>
                </c:pt>
                <c:pt idx="363">
                  <c:v>40176</c:v>
                </c:pt>
                <c:pt idx="364">
                  <c:v>40177</c:v>
                </c:pt>
                <c:pt idx="365">
                  <c:v>40178</c:v>
                </c:pt>
              </c:numCache>
            </c:numRef>
          </c:cat>
          <c:val>
            <c:numRef>
              <c:f>'HDD&amp;CDD'!$AI$2:$AI$368</c:f>
              <c:numCache>
                <c:formatCode>General</c:formatCode>
                <c:ptCount val="367"/>
                <c:pt idx="0">
                  <c:v>9.7399999999999967</c:v>
                </c:pt>
                <c:pt idx="1">
                  <c:v>8.5600000000000023</c:v>
                </c:pt>
                <c:pt idx="2">
                  <c:v>8.98</c:v>
                </c:pt>
                <c:pt idx="3">
                  <c:v>9.7399999999999967</c:v>
                </c:pt>
                <c:pt idx="4">
                  <c:v>8.48</c:v>
                </c:pt>
                <c:pt idx="5">
                  <c:v>8</c:v>
                </c:pt>
                <c:pt idx="6">
                  <c:v>9.9000000000000021</c:v>
                </c:pt>
                <c:pt idx="7">
                  <c:v>7.8799999999999963</c:v>
                </c:pt>
                <c:pt idx="8">
                  <c:v>5.720000000000006</c:v>
                </c:pt>
                <c:pt idx="9">
                  <c:v>6.1400000000000077</c:v>
                </c:pt>
                <c:pt idx="10">
                  <c:v>7.2999999999999972</c:v>
                </c:pt>
                <c:pt idx="11">
                  <c:v>8.44</c:v>
                </c:pt>
                <c:pt idx="12">
                  <c:v>7.9200000000000017</c:v>
                </c:pt>
                <c:pt idx="13">
                  <c:v>8.0200000000000031</c:v>
                </c:pt>
                <c:pt idx="14">
                  <c:v>8.7399999999999967</c:v>
                </c:pt>
                <c:pt idx="15">
                  <c:v>8.0400000000000009</c:v>
                </c:pt>
                <c:pt idx="16">
                  <c:v>7.2399999999999984</c:v>
                </c:pt>
                <c:pt idx="17">
                  <c:v>6.1000000000000005</c:v>
                </c:pt>
                <c:pt idx="18">
                  <c:v>2.6799999999999926</c:v>
                </c:pt>
                <c:pt idx="19">
                  <c:v>5.1400000000000077</c:v>
                </c:pt>
                <c:pt idx="20">
                  <c:v>6.9200000000000017</c:v>
                </c:pt>
                <c:pt idx="21">
                  <c:v>8.5200000000000031</c:v>
                </c:pt>
                <c:pt idx="22">
                  <c:v>6.7600000000000051</c:v>
                </c:pt>
                <c:pt idx="23">
                  <c:v>7.94</c:v>
                </c:pt>
                <c:pt idx="24">
                  <c:v>8.1600000000000037</c:v>
                </c:pt>
                <c:pt idx="25">
                  <c:v>9.44</c:v>
                </c:pt>
                <c:pt idx="26">
                  <c:v>9.2000000000000011</c:v>
                </c:pt>
                <c:pt idx="27">
                  <c:v>9.620000000000001</c:v>
                </c:pt>
                <c:pt idx="28">
                  <c:v>9.7600000000000051</c:v>
                </c:pt>
                <c:pt idx="29">
                  <c:v>9.14</c:v>
                </c:pt>
                <c:pt idx="30">
                  <c:v>7.9800000000000084</c:v>
                </c:pt>
                <c:pt idx="31">
                  <c:v>8.9600000000000026</c:v>
                </c:pt>
                <c:pt idx="32">
                  <c:v>8.1000000000000014</c:v>
                </c:pt>
                <c:pt idx="33">
                  <c:v>7.3800000000000097</c:v>
                </c:pt>
                <c:pt idx="34">
                  <c:v>6.1000000000000005</c:v>
                </c:pt>
                <c:pt idx="35">
                  <c:v>5.2000000000000028</c:v>
                </c:pt>
                <c:pt idx="36">
                  <c:v>7.9400000000000119</c:v>
                </c:pt>
                <c:pt idx="37">
                  <c:v>8.6800000000000015</c:v>
                </c:pt>
                <c:pt idx="38">
                  <c:v>7.6400000000000006</c:v>
                </c:pt>
                <c:pt idx="39">
                  <c:v>5.1400000000000006</c:v>
                </c:pt>
                <c:pt idx="40">
                  <c:v>7.3599999999999985</c:v>
                </c:pt>
                <c:pt idx="41">
                  <c:v>8.14</c:v>
                </c:pt>
                <c:pt idx="42">
                  <c:v>6.7399999999999984</c:v>
                </c:pt>
                <c:pt idx="43">
                  <c:v>7.2799999999999994</c:v>
                </c:pt>
                <c:pt idx="44">
                  <c:v>8.8000000000000025</c:v>
                </c:pt>
                <c:pt idx="45">
                  <c:v>9.2600000000000051</c:v>
                </c:pt>
                <c:pt idx="46">
                  <c:v>9.14</c:v>
                </c:pt>
                <c:pt idx="47">
                  <c:v>7.8799999999999963</c:v>
                </c:pt>
                <c:pt idx="48">
                  <c:v>8.4000000000000021</c:v>
                </c:pt>
                <c:pt idx="49">
                  <c:v>9.48</c:v>
                </c:pt>
                <c:pt idx="50">
                  <c:v>9.5800000000000018</c:v>
                </c:pt>
                <c:pt idx="51">
                  <c:v>9.5200000000000031</c:v>
                </c:pt>
                <c:pt idx="52">
                  <c:v>8.8800000000000026</c:v>
                </c:pt>
                <c:pt idx="53">
                  <c:v>8.8400000000000105</c:v>
                </c:pt>
                <c:pt idx="54">
                  <c:v>9.3800000000000097</c:v>
                </c:pt>
                <c:pt idx="55">
                  <c:v>9.3600000000000048</c:v>
                </c:pt>
                <c:pt idx="56">
                  <c:v>6.94</c:v>
                </c:pt>
                <c:pt idx="57">
                  <c:v>5.7000000000000028</c:v>
                </c:pt>
                <c:pt idx="58">
                  <c:v>8.1600000000000037</c:v>
                </c:pt>
                <c:pt idx="59">
                  <c:v>9.2000000000000011</c:v>
                </c:pt>
                <c:pt idx="60">
                  <c:v>7.8799999999999963</c:v>
                </c:pt>
                <c:pt idx="61">
                  <c:v>7.8599999999999985</c:v>
                </c:pt>
                <c:pt idx="62">
                  <c:v>6.7199999999999918</c:v>
                </c:pt>
                <c:pt idx="63">
                  <c:v>7.2600000000000051</c:v>
                </c:pt>
                <c:pt idx="64">
                  <c:v>7.5</c:v>
                </c:pt>
                <c:pt idx="65">
                  <c:v>6.94</c:v>
                </c:pt>
                <c:pt idx="66">
                  <c:v>6.8999999999999986</c:v>
                </c:pt>
                <c:pt idx="67">
                  <c:v>7.5799999999999983</c:v>
                </c:pt>
                <c:pt idx="68">
                  <c:v>7.7999999999999972</c:v>
                </c:pt>
                <c:pt idx="69">
                  <c:v>7.7999999999999972</c:v>
                </c:pt>
                <c:pt idx="70">
                  <c:v>7.1000000000000005</c:v>
                </c:pt>
                <c:pt idx="71">
                  <c:v>6.3399999999999963</c:v>
                </c:pt>
                <c:pt idx="72">
                  <c:v>7.5600000000000005</c:v>
                </c:pt>
                <c:pt idx="73">
                  <c:v>7.8800000000000097</c:v>
                </c:pt>
                <c:pt idx="74">
                  <c:v>7.519999999999996</c:v>
                </c:pt>
                <c:pt idx="75">
                  <c:v>8.6000000000000014</c:v>
                </c:pt>
                <c:pt idx="76">
                  <c:v>7.1000000000000005</c:v>
                </c:pt>
                <c:pt idx="77">
                  <c:v>7.9600000000000009</c:v>
                </c:pt>
                <c:pt idx="78">
                  <c:v>9.1600000000000037</c:v>
                </c:pt>
                <c:pt idx="79">
                  <c:v>8.8000000000000025</c:v>
                </c:pt>
                <c:pt idx="80">
                  <c:v>8.3600000000000048</c:v>
                </c:pt>
                <c:pt idx="81">
                  <c:v>7.1599999999999895</c:v>
                </c:pt>
                <c:pt idx="82">
                  <c:v>4.2399999999999984</c:v>
                </c:pt>
                <c:pt idx="83">
                  <c:v>4.220000000000006</c:v>
                </c:pt>
                <c:pt idx="84">
                  <c:v>7.0200000000000005</c:v>
                </c:pt>
                <c:pt idx="85">
                  <c:v>6.8399999999999963</c:v>
                </c:pt>
                <c:pt idx="86">
                  <c:v>6.1000000000000005</c:v>
                </c:pt>
                <c:pt idx="87">
                  <c:v>7.3800000000000097</c:v>
                </c:pt>
                <c:pt idx="88">
                  <c:v>7.5200000000000005</c:v>
                </c:pt>
                <c:pt idx="89">
                  <c:v>7.2999999999999972</c:v>
                </c:pt>
                <c:pt idx="90">
                  <c:v>6.5799999999999983</c:v>
                </c:pt>
                <c:pt idx="91">
                  <c:v>6.3199999999999905</c:v>
                </c:pt>
                <c:pt idx="92">
                  <c:v>6.5400000000000063</c:v>
                </c:pt>
                <c:pt idx="93">
                  <c:v>6.9199999999999964</c:v>
                </c:pt>
                <c:pt idx="94">
                  <c:v>6.8599999999999985</c:v>
                </c:pt>
                <c:pt idx="95">
                  <c:v>6.0200000000000005</c:v>
                </c:pt>
                <c:pt idx="96">
                  <c:v>4.8799999999999963</c:v>
                </c:pt>
                <c:pt idx="97">
                  <c:v>6.8999999999999986</c:v>
                </c:pt>
                <c:pt idx="98">
                  <c:v>7.2999999999999972</c:v>
                </c:pt>
                <c:pt idx="99">
                  <c:v>39.100000000000009</c:v>
                </c:pt>
                <c:pt idx="100">
                  <c:v>6.720000000000006</c:v>
                </c:pt>
                <c:pt idx="101">
                  <c:v>5.3799999999999963</c:v>
                </c:pt>
                <c:pt idx="102">
                  <c:v>3.3399999999999963</c:v>
                </c:pt>
                <c:pt idx="103">
                  <c:v>0.96000000000000862</c:v>
                </c:pt>
                <c:pt idx="104">
                  <c:v>3.4199999999999937</c:v>
                </c:pt>
                <c:pt idx="105">
                  <c:v>7.3399999999999963</c:v>
                </c:pt>
                <c:pt idx="106">
                  <c:v>7</c:v>
                </c:pt>
                <c:pt idx="107">
                  <c:v>5.7999999999999972</c:v>
                </c:pt>
                <c:pt idx="108">
                  <c:v>5.1200000000000045</c:v>
                </c:pt>
                <c:pt idx="109">
                  <c:v>4.4800000000000004</c:v>
                </c:pt>
                <c:pt idx="110">
                  <c:v>3.5400000000000071</c:v>
                </c:pt>
                <c:pt idx="111">
                  <c:v>3.8200000000000074</c:v>
                </c:pt>
                <c:pt idx="112">
                  <c:v>5.98</c:v>
                </c:pt>
                <c:pt idx="113">
                  <c:v>7.2999999999999972</c:v>
                </c:pt>
                <c:pt idx="114">
                  <c:v>6.1400000000000006</c:v>
                </c:pt>
                <c:pt idx="115">
                  <c:v>5.0800000000000054</c:v>
                </c:pt>
                <c:pt idx="116">
                  <c:v>3.5200000000000031</c:v>
                </c:pt>
                <c:pt idx="117">
                  <c:v>1.1199999999999883</c:v>
                </c:pt>
                <c:pt idx="118">
                  <c:v>1.3599999999999972</c:v>
                </c:pt>
                <c:pt idx="119">
                  <c:v>4.1000000000000085</c:v>
                </c:pt>
                <c:pt idx="120">
                  <c:v>4.7000000000000028</c:v>
                </c:pt>
                <c:pt idx="121">
                  <c:v>4.7799999999999994</c:v>
                </c:pt>
                <c:pt idx="122">
                  <c:v>3.2399999999999949</c:v>
                </c:pt>
                <c:pt idx="123">
                  <c:v>3.2199999999999918</c:v>
                </c:pt>
                <c:pt idx="124">
                  <c:v>3.8200000000000074</c:v>
                </c:pt>
                <c:pt idx="125">
                  <c:v>3.5600000000000032</c:v>
                </c:pt>
                <c:pt idx="126">
                  <c:v>2.0200000000000031</c:v>
                </c:pt>
                <c:pt idx="127">
                  <c:v>0.43999999999999873</c:v>
                </c:pt>
                <c:pt idx="128">
                  <c:v>0.52000000000001023</c:v>
                </c:pt>
                <c:pt idx="129">
                  <c:v>2.6000000000000014</c:v>
                </c:pt>
                <c:pt idx="130">
                  <c:v>4.4800000000000004</c:v>
                </c:pt>
                <c:pt idx="131">
                  <c:v>4.2399999999999984</c:v>
                </c:pt>
                <c:pt idx="132">
                  <c:v>3.7999999999999972</c:v>
                </c:pt>
                <c:pt idx="133">
                  <c:v>2.6400000000000081</c:v>
                </c:pt>
                <c:pt idx="134">
                  <c:v>1.7399999999999916</c:v>
                </c:pt>
                <c:pt idx="135">
                  <c:v>0.90000000000000568</c:v>
                </c:pt>
                <c:pt idx="136">
                  <c:v>1</c:v>
                </c:pt>
                <c:pt idx="137">
                  <c:v>0.40000000000000568</c:v>
                </c:pt>
                <c:pt idx="138">
                  <c:v>0.14000000000000071</c:v>
                </c:pt>
                <c:pt idx="139">
                  <c:v>0.14000000000000071</c:v>
                </c:pt>
                <c:pt idx="140">
                  <c:v>1</c:v>
                </c:pt>
                <c:pt idx="141">
                  <c:v>0.84000000000000363</c:v>
                </c:pt>
                <c:pt idx="142">
                  <c:v>1.5800000000000061</c:v>
                </c:pt>
                <c:pt idx="143">
                  <c:v>2.4600000000000009</c:v>
                </c:pt>
                <c:pt idx="144">
                  <c:v>2.6799999999999926</c:v>
                </c:pt>
                <c:pt idx="145">
                  <c:v>2.4399999999999977</c:v>
                </c:pt>
                <c:pt idx="146">
                  <c:v>3.1000000000000014</c:v>
                </c:pt>
                <c:pt idx="147">
                  <c:v>2.5799999999999983</c:v>
                </c:pt>
                <c:pt idx="148">
                  <c:v>1.7999999999999945</c:v>
                </c:pt>
                <c:pt idx="149">
                  <c:v>1.5800000000000061</c:v>
                </c:pt>
                <c:pt idx="150">
                  <c:v>1.7399999999999916</c:v>
                </c:pt>
                <c:pt idx="151">
                  <c:v>1.6199999999999883</c:v>
                </c:pt>
                <c:pt idx="152">
                  <c:v>1.959999999999992</c:v>
                </c:pt>
                <c:pt idx="153">
                  <c:v>1.6400000000000081</c:v>
                </c:pt>
                <c:pt idx="154">
                  <c:v>1.0200000000000031</c:v>
                </c:pt>
                <c:pt idx="155">
                  <c:v>0.82000000000000761</c:v>
                </c:pt>
                <c:pt idx="156">
                  <c:v>0.84000000000000363</c:v>
                </c:pt>
                <c:pt idx="157">
                  <c:v>0.87999999999999645</c:v>
                </c:pt>
                <c:pt idx="158">
                  <c:v>0.58000000000001251</c:v>
                </c:pt>
                <c:pt idx="159">
                  <c:v>0.32000000000000783</c:v>
                </c:pt>
                <c:pt idx="160">
                  <c:v>0.36000000000000015</c:v>
                </c:pt>
                <c:pt idx="161">
                  <c:v>1.1400000000000021</c:v>
                </c:pt>
                <c:pt idx="162">
                  <c:v>0.73999999999999577</c:v>
                </c:pt>
                <c:pt idx="163">
                  <c:v>0.20000000000000284</c:v>
                </c:pt>
                <c:pt idx="164">
                  <c:v>0.67999999999999372</c:v>
                </c:pt>
                <c:pt idx="165">
                  <c:v>0.23999999999998095</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37.475000000000001</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0.17499999999999749</c:v>
                </c:pt>
                <c:pt idx="264">
                  <c:v>0</c:v>
                </c:pt>
                <c:pt idx="265">
                  <c:v>0</c:v>
                </c:pt>
                <c:pt idx="266">
                  <c:v>0</c:v>
                </c:pt>
                <c:pt idx="267">
                  <c:v>40.625000000000057</c:v>
                </c:pt>
                <c:pt idx="268">
                  <c:v>0</c:v>
                </c:pt>
                <c:pt idx="269">
                  <c:v>0</c:v>
                </c:pt>
                <c:pt idx="270">
                  <c:v>0</c:v>
                </c:pt>
                <c:pt idx="271">
                  <c:v>0</c:v>
                </c:pt>
                <c:pt idx="272">
                  <c:v>0</c:v>
                </c:pt>
                <c:pt idx="273">
                  <c:v>0</c:v>
                </c:pt>
                <c:pt idx="274">
                  <c:v>0</c:v>
                </c:pt>
                <c:pt idx="275">
                  <c:v>0</c:v>
                </c:pt>
                <c:pt idx="276">
                  <c:v>0</c:v>
                </c:pt>
                <c:pt idx="277">
                  <c:v>0.81999999999999362</c:v>
                </c:pt>
                <c:pt idx="278">
                  <c:v>0</c:v>
                </c:pt>
                <c:pt idx="279">
                  <c:v>0</c:v>
                </c:pt>
                <c:pt idx="280">
                  <c:v>0</c:v>
                </c:pt>
                <c:pt idx="281">
                  <c:v>0</c:v>
                </c:pt>
                <c:pt idx="282">
                  <c:v>6.0000000000002322E-2</c:v>
                </c:pt>
                <c:pt idx="283">
                  <c:v>0.78000000000000114</c:v>
                </c:pt>
                <c:pt idx="284">
                  <c:v>1.9200000000000021</c:v>
                </c:pt>
                <c:pt idx="285">
                  <c:v>1.9200000000000021</c:v>
                </c:pt>
                <c:pt idx="286">
                  <c:v>0.61999999999999134</c:v>
                </c:pt>
                <c:pt idx="287">
                  <c:v>0</c:v>
                </c:pt>
                <c:pt idx="288">
                  <c:v>0</c:v>
                </c:pt>
                <c:pt idx="289">
                  <c:v>0.42000000000000182</c:v>
                </c:pt>
                <c:pt idx="290">
                  <c:v>2.0000000000010242E-2</c:v>
                </c:pt>
                <c:pt idx="291">
                  <c:v>1.3999999999999966</c:v>
                </c:pt>
                <c:pt idx="292">
                  <c:v>0.29999999999999793</c:v>
                </c:pt>
                <c:pt idx="293">
                  <c:v>1.6200000000000045</c:v>
                </c:pt>
                <c:pt idx="294">
                  <c:v>1.4799999999999935</c:v>
                </c:pt>
                <c:pt idx="295">
                  <c:v>0</c:v>
                </c:pt>
                <c:pt idx="296">
                  <c:v>0</c:v>
                </c:pt>
                <c:pt idx="297">
                  <c:v>0</c:v>
                </c:pt>
                <c:pt idx="298">
                  <c:v>0</c:v>
                </c:pt>
                <c:pt idx="299">
                  <c:v>2.3399999999999963</c:v>
                </c:pt>
                <c:pt idx="300">
                  <c:v>1.7999999999999945</c:v>
                </c:pt>
                <c:pt idx="301">
                  <c:v>0.31999999999999418</c:v>
                </c:pt>
                <c:pt idx="302">
                  <c:v>1.3999999999999966</c:v>
                </c:pt>
                <c:pt idx="303">
                  <c:v>2.1799999999999926</c:v>
                </c:pt>
                <c:pt idx="304">
                  <c:v>0.97999999999999066</c:v>
                </c:pt>
                <c:pt idx="305">
                  <c:v>0</c:v>
                </c:pt>
                <c:pt idx="306">
                  <c:v>1.8599999999999901</c:v>
                </c:pt>
                <c:pt idx="307">
                  <c:v>3.0599999999999867</c:v>
                </c:pt>
                <c:pt idx="308">
                  <c:v>4.8599999999999985</c:v>
                </c:pt>
                <c:pt idx="309">
                  <c:v>4.2000000000000028</c:v>
                </c:pt>
                <c:pt idx="310">
                  <c:v>1.6600000000000041</c:v>
                </c:pt>
                <c:pt idx="311">
                  <c:v>0.40000000000000568</c:v>
                </c:pt>
                <c:pt idx="312">
                  <c:v>0.71999999999999964</c:v>
                </c:pt>
                <c:pt idx="313">
                  <c:v>3.3799999999999937</c:v>
                </c:pt>
                <c:pt idx="314">
                  <c:v>4.5200000000000005</c:v>
                </c:pt>
                <c:pt idx="315">
                  <c:v>5.1599999999999975</c:v>
                </c:pt>
                <c:pt idx="316">
                  <c:v>4.7999999999999972</c:v>
                </c:pt>
                <c:pt idx="317">
                  <c:v>1.7799999999999914</c:v>
                </c:pt>
                <c:pt idx="318">
                  <c:v>0.85999999999999965</c:v>
                </c:pt>
                <c:pt idx="319">
                  <c:v>0</c:v>
                </c:pt>
                <c:pt idx="320">
                  <c:v>0</c:v>
                </c:pt>
                <c:pt idx="321">
                  <c:v>0.42000000000000182</c:v>
                </c:pt>
                <c:pt idx="322">
                  <c:v>1.2999999999999945</c:v>
                </c:pt>
                <c:pt idx="323">
                  <c:v>2.7000000000000042</c:v>
                </c:pt>
                <c:pt idx="324">
                  <c:v>1.720000000000006</c:v>
                </c:pt>
                <c:pt idx="325">
                  <c:v>2.6600000000000041</c:v>
                </c:pt>
                <c:pt idx="326">
                  <c:v>3.0799999999999983</c:v>
                </c:pt>
                <c:pt idx="327">
                  <c:v>5.6400000000000006</c:v>
                </c:pt>
                <c:pt idx="328">
                  <c:v>5.5399999999999991</c:v>
                </c:pt>
                <c:pt idx="329">
                  <c:v>5.6599999999999975</c:v>
                </c:pt>
                <c:pt idx="330">
                  <c:v>4.9600000000000009</c:v>
                </c:pt>
                <c:pt idx="331">
                  <c:v>5.98</c:v>
                </c:pt>
                <c:pt idx="332">
                  <c:v>5.7400000000000091</c:v>
                </c:pt>
                <c:pt idx="333">
                  <c:v>7.4600000000000009</c:v>
                </c:pt>
                <c:pt idx="334">
                  <c:v>8.5400000000000009</c:v>
                </c:pt>
                <c:pt idx="335">
                  <c:v>8.94</c:v>
                </c:pt>
                <c:pt idx="336">
                  <c:v>8.7800000000000011</c:v>
                </c:pt>
                <c:pt idx="337">
                  <c:v>7.0200000000000005</c:v>
                </c:pt>
                <c:pt idx="338">
                  <c:v>6.4199999999999964</c:v>
                </c:pt>
                <c:pt idx="339">
                  <c:v>6.2999999999999972</c:v>
                </c:pt>
                <c:pt idx="340">
                  <c:v>7.98</c:v>
                </c:pt>
                <c:pt idx="341">
                  <c:v>7.7999999999999972</c:v>
                </c:pt>
                <c:pt idx="342">
                  <c:v>7.6799999999999926</c:v>
                </c:pt>
                <c:pt idx="343">
                  <c:v>7.8199999999999905</c:v>
                </c:pt>
                <c:pt idx="344">
                  <c:v>5.3999999999999986</c:v>
                </c:pt>
                <c:pt idx="345">
                  <c:v>4.5</c:v>
                </c:pt>
                <c:pt idx="346">
                  <c:v>8.0600000000000023</c:v>
                </c:pt>
                <c:pt idx="347">
                  <c:v>8.44</c:v>
                </c:pt>
                <c:pt idx="348">
                  <c:v>8.4600000000000026</c:v>
                </c:pt>
                <c:pt idx="349">
                  <c:v>8.5400000000000009</c:v>
                </c:pt>
                <c:pt idx="350">
                  <c:v>9.2399999999999967</c:v>
                </c:pt>
                <c:pt idx="351">
                  <c:v>10.46</c:v>
                </c:pt>
                <c:pt idx="352">
                  <c:v>9.98</c:v>
                </c:pt>
                <c:pt idx="353">
                  <c:v>8.7200000000000024</c:v>
                </c:pt>
                <c:pt idx="354">
                  <c:v>8.14</c:v>
                </c:pt>
                <c:pt idx="355">
                  <c:v>8.3600000000000048</c:v>
                </c:pt>
                <c:pt idx="356">
                  <c:v>9.2000000000000011</c:v>
                </c:pt>
                <c:pt idx="357">
                  <c:v>8.7200000000000024</c:v>
                </c:pt>
                <c:pt idx="358">
                  <c:v>8.1800000000000015</c:v>
                </c:pt>
                <c:pt idx="359">
                  <c:v>7.7999999999999972</c:v>
                </c:pt>
                <c:pt idx="360">
                  <c:v>10.360000000000014</c:v>
                </c:pt>
                <c:pt idx="361">
                  <c:v>10.660000000000002</c:v>
                </c:pt>
                <c:pt idx="362">
                  <c:v>10.280000000000001</c:v>
                </c:pt>
                <c:pt idx="363">
                  <c:v>8.7800000000000082</c:v>
                </c:pt>
                <c:pt idx="364">
                  <c:v>10.400000000000002</c:v>
                </c:pt>
                <c:pt idx="365">
                  <c:v>10.920000000000002</c:v>
                </c:pt>
              </c:numCache>
            </c:numRef>
          </c:val>
        </c:ser>
        <c:ser>
          <c:idx val="1"/>
          <c:order val="1"/>
          <c:tx>
            <c:strRef>
              <c:f>'HDD&amp;CDD'!$AJ$1</c:f>
              <c:strCache>
                <c:ptCount val="1"/>
                <c:pt idx="0">
                  <c:v>historical HDD</c:v>
                </c:pt>
              </c:strCache>
            </c:strRef>
          </c:tx>
          <c:spPr>
            <a:ln w="12700">
              <a:solidFill>
                <a:srgbClr val="FF00FF"/>
              </a:solidFill>
              <a:prstDash val="solid"/>
            </a:ln>
          </c:spPr>
          <c:marker>
            <c:symbol val="none"/>
          </c:marker>
          <c:cat>
            <c:numRef>
              <c:f>'HDD&amp;CDD'!$AH$2:$AH$368</c:f>
              <c:numCache>
                <c:formatCode>mmm\ dd</c:formatCode>
                <c:ptCount val="367"/>
                <c:pt idx="0">
                  <c:v>39814</c:v>
                </c:pt>
                <c:pt idx="1">
                  <c:v>39815</c:v>
                </c:pt>
                <c:pt idx="2">
                  <c:v>39816</c:v>
                </c:pt>
                <c:pt idx="3">
                  <c:v>39817</c:v>
                </c:pt>
                <c:pt idx="4">
                  <c:v>39818</c:v>
                </c:pt>
                <c:pt idx="5">
                  <c:v>39819</c:v>
                </c:pt>
                <c:pt idx="6">
                  <c:v>39820</c:v>
                </c:pt>
                <c:pt idx="7">
                  <c:v>39821</c:v>
                </c:pt>
                <c:pt idx="8">
                  <c:v>39822</c:v>
                </c:pt>
                <c:pt idx="9">
                  <c:v>39823</c:v>
                </c:pt>
                <c:pt idx="10">
                  <c:v>39824</c:v>
                </c:pt>
                <c:pt idx="11">
                  <c:v>39825</c:v>
                </c:pt>
                <c:pt idx="12">
                  <c:v>39826</c:v>
                </c:pt>
                <c:pt idx="13">
                  <c:v>39827</c:v>
                </c:pt>
                <c:pt idx="14">
                  <c:v>39828</c:v>
                </c:pt>
                <c:pt idx="15">
                  <c:v>39829</c:v>
                </c:pt>
                <c:pt idx="16">
                  <c:v>39830</c:v>
                </c:pt>
                <c:pt idx="17">
                  <c:v>39831</c:v>
                </c:pt>
                <c:pt idx="18">
                  <c:v>39832</c:v>
                </c:pt>
                <c:pt idx="19">
                  <c:v>39833</c:v>
                </c:pt>
                <c:pt idx="20">
                  <c:v>39834</c:v>
                </c:pt>
                <c:pt idx="21">
                  <c:v>39835</c:v>
                </c:pt>
                <c:pt idx="22">
                  <c:v>39836</c:v>
                </c:pt>
                <c:pt idx="23">
                  <c:v>39837</c:v>
                </c:pt>
                <c:pt idx="24">
                  <c:v>39838</c:v>
                </c:pt>
                <c:pt idx="25">
                  <c:v>39839</c:v>
                </c:pt>
                <c:pt idx="26">
                  <c:v>39840</c:v>
                </c:pt>
                <c:pt idx="27">
                  <c:v>39841</c:v>
                </c:pt>
                <c:pt idx="28">
                  <c:v>39842</c:v>
                </c:pt>
                <c:pt idx="29">
                  <c:v>39843</c:v>
                </c:pt>
                <c:pt idx="30">
                  <c:v>39844</c:v>
                </c:pt>
                <c:pt idx="31">
                  <c:v>39845</c:v>
                </c:pt>
                <c:pt idx="32">
                  <c:v>39846</c:v>
                </c:pt>
                <c:pt idx="33">
                  <c:v>39847</c:v>
                </c:pt>
                <c:pt idx="34">
                  <c:v>39848</c:v>
                </c:pt>
                <c:pt idx="35">
                  <c:v>39849</c:v>
                </c:pt>
                <c:pt idx="36">
                  <c:v>39850</c:v>
                </c:pt>
                <c:pt idx="37">
                  <c:v>39851</c:v>
                </c:pt>
                <c:pt idx="38">
                  <c:v>39852</c:v>
                </c:pt>
                <c:pt idx="39">
                  <c:v>39853</c:v>
                </c:pt>
                <c:pt idx="40">
                  <c:v>39854</c:v>
                </c:pt>
                <c:pt idx="41">
                  <c:v>39855</c:v>
                </c:pt>
                <c:pt idx="42">
                  <c:v>39856</c:v>
                </c:pt>
                <c:pt idx="43">
                  <c:v>39857</c:v>
                </c:pt>
                <c:pt idx="44">
                  <c:v>39858</c:v>
                </c:pt>
                <c:pt idx="45">
                  <c:v>39859</c:v>
                </c:pt>
                <c:pt idx="46">
                  <c:v>39860</c:v>
                </c:pt>
                <c:pt idx="47">
                  <c:v>39861</c:v>
                </c:pt>
                <c:pt idx="48">
                  <c:v>39862</c:v>
                </c:pt>
                <c:pt idx="49">
                  <c:v>39863</c:v>
                </c:pt>
                <c:pt idx="50">
                  <c:v>39864</c:v>
                </c:pt>
                <c:pt idx="51">
                  <c:v>39865</c:v>
                </c:pt>
                <c:pt idx="52">
                  <c:v>39866</c:v>
                </c:pt>
                <c:pt idx="53">
                  <c:v>39867</c:v>
                </c:pt>
                <c:pt idx="54">
                  <c:v>39868</c:v>
                </c:pt>
                <c:pt idx="55">
                  <c:v>39869</c:v>
                </c:pt>
                <c:pt idx="56">
                  <c:v>39870</c:v>
                </c:pt>
                <c:pt idx="57">
                  <c:v>39871</c:v>
                </c:pt>
                <c:pt idx="58">
                  <c:v>39872</c:v>
                </c:pt>
                <c:pt idx="59">
                  <c:v>39873</c:v>
                </c:pt>
                <c:pt idx="60">
                  <c:v>39873</c:v>
                </c:pt>
                <c:pt idx="61">
                  <c:v>39874</c:v>
                </c:pt>
                <c:pt idx="62">
                  <c:v>39875</c:v>
                </c:pt>
                <c:pt idx="63">
                  <c:v>39876</c:v>
                </c:pt>
                <c:pt idx="64">
                  <c:v>39877</c:v>
                </c:pt>
                <c:pt idx="65">
                  <c:v>39878</c:v>
                </c:pt>
                <c:pt idx="66">
                  <c:v>39879</c:v>
                </c:pt>
                <c:pt idx="67">
                  <c:v>39880</c:v>
                </c:pt>
                <c:pt idx="68">
                  <c:v>39881</c:v>
                </c:pt>
                <c:pt idx="69">
                  <c:v>39882</c:v>
                </c:pt>
                <c:pt idx="70">
                  <c:v>39883</c:v>
                </c:pt>
                <c:pt idx="71">
                  <c:v>39884</c:v>
                </c:pt>
                <c:pt idx="72">
                  <c:v>39885</c:v>
                </c:pt>
                <c:pt idx="73">
                  <c:v>39886</c:v>
                </c:pt>
                <c:pt idx="74">
                  <c:v>39887</c:v>
                </c:pt>
                <c:pt idx="75">
                  <c:v>39888</c:v>
                </c:pt>
                <c:pt idx="76">
                  <c:v>39889</c:v>
                </c:pt>
                <c:pt idx="77">
                  <c:v>39890</c:v>
                </c:pt>
                <c:pt idx="78">
                  <c:v>39891</c:v>
                </c:pt>
                <c:pt idx="79">
                  <c:v>39892</c:v>
                </c:pt>
                <c:pt idx="80">
                  <c:v>39893</c:v>
                </c:pt>
                <c:pt idx="81">
                  <c:v>39894</c:v>
                </c:pt>
                <c:pt idx="82">
                  <c:v>39895</c:v>
                </c:pt>
                <c:pt idx="83">
                  <c:v>39896</c:v>
                </c:pt>
                <c:pt idx="84">
                  <c:v>39897</c:v>
                </c:pt>
                <c:pt idx="85">
                  <c:v>39898</c:v>
                </c:pt>
                <c:pt idx="86">
                  <c:v>39899</c:v>
                </c:pt>
                <c:pt idx="87">
                  <c:v>39900</c:v>
                </c:pt>
                <c:pt idx="88">
                  <c:v>39901</c:v>
                </c:pt>
                <c:pt idx="89">
                  <c:v>39902</c:v>
                </c:pt>
                <c:pt idx="90">
                  <c:v>39903</c:v>
                </c:pt>
                <c:pt idx="91">
                  <c:v>39904</c:v>
                </c:pt>
                <c:pt idx="92">
                  <c:v>39905</c:v>
                </c:pt>
                <c:pt idx="93">
                  <c:v>39906</c:v>
                </c:pt>
                <c:pt idx="94">
                  <c:v>39907</c:v>
                </c:pt>
                <c:pt idx="95">
                  <c:v>39908</c:v>
                </c:pt>
                <c:pt idx="96">
                  <c:v>39909</c:v>
                </c:pt>
                <c:pt idx="97">
                  <c:v>39910</c:v>
                </c:pt>
                <c:pt idx="98">
                  <c:v>39911</c:v>
                </c:pt>
                <c:pt idx="99">
                  <c:v>39912</c:v>
                </c:pt>
                <c:pt idx="100">
                  <c:v>39913</c:v>
                </c:pt>
                <c:pt idx="101">
                  <c:v>39914</c:v>
                </c:pt>
                <c:pt idx="102">
                  <c:v>39915</c:v>
                </c:pt>
                <c:pt idx="103">
                  <c:v>39916</c:v>
                </c:pt>
                <c:pt idx="104">
                  <c:v>39917</c:v>
                </c:pt>
                <c:pt idx="105">
                  <c:v>39918</c:v>
                </c:pt>
                <c:pt idx="106">
                  <c:v>39919</c:v>
                </c:pt>
                <c:pt idx="107">
                  <c:v>39920</c:v>
                </c:pt>
                <c:pt idx="108">
                  <c:v>39921</c:v>
                </c:pt>
                <c:pt idx="109">
                  <c:v>39922</c:v>
                </c:pt>
                <c:pt idx="110">
                  <c:v>39923</c:v>
                </c:pt>
                <c:pt idx="111">
                  <c:v>39924</c:v>
                </c:pt>
                <c:pt idx="112">
                  <c:v>39925</c:v>
                </c:pt>
                <c:pt idx="113">
                  <c:v>39926</c:v>
                </c:pt>
                <c:pt idx="114">
                  <c:v>39927</c:v>
                </c:pt>
                <c:pt idx="115">
                  <c:v>39928</c:v>
                </c:pt>
                <c:pt idx="116">
                  <c:v>39929</c:v>
                </c:pt>
                <c:pt idx="117">
                  <c:v>39930</c:v>
                </c:pt>
                <c:pt idx="118">
                  <c:v>39931</c:v>
                </c:pt>
                <c:pt idx="119">
                  <c:v>39932</c:v>
                </c:pt>
                <c:pt idx="120">
                  <c:v>39933</c:v>
                </c:pt>
                <c:pt idx="121">
                  <c:v>39934</c:v>
                </c:pt>
                <c:pt idx="122">
                  <c:v>39935</c:v>
                </c:pt>
                <c:pt idx="123">
                  <c:v>39936</c:v>
                </c:pt>
                <c:pt idx="124">
                  <c:v>39937</c:v>
                </c:pt>
                <c:pt idx="125">
                  <c:v>39938</c:v>
                </c:pt>
                <c:pt idx="126">
                  <c:v>39939</c:v>
                </c:pt>
                <c:pt idx="127">
                  <c:v>39940</c:v>
                </c:pt>
                <c:pt idx="128">
                  <c:v>39941</c:v>
                </c:pt>
                <c:pt idx="129">
                  <c:v>39942</c:v>
                </c:pt>
                <c:pt idx="130">
                  <c:v>39943</c:v>
                </c:pt>
                <c:pt idx="131">
                  <c:v>39944</c:v>
                </c:pt>
                <c:pt idx="132">
                  <c:v>39945</c:v>
                </c:pt>
                <c:pt idx="133">
                  <c:v>39946</c:v>
                </c:pt>
                <c:pt idx="134">
                  <c:v>39947</c:v>
                </c:pt>
                <c:pt idx="135">
                  <c:v>39948</c:v>
                </c:pt>
                <c:pt idx="136">
                  <c:v>39949</c:v>
                </c:pt>
                <c:pt idx="137">
                  <c:v>39950</c:v>
                </c:pt>
                <c:pt idx="138">
                  <c:v>39951</c:v>
                </c:pt>
                <c:pt idx="139">
                  <c:v>39952</c:v>
                </c:pt>
                <c:pt idx="140">
                  <c:v>39953</c:v>
                </c:pt>
                <c:pt idx="141">
                  <c:v>39954</c:v>
                </c:pt>
                <c:pt idx="142">
                  <c:v>39955</c:v>
                </c:pt>
                <c:pt idx="143">
                  <c:v>39956</c:v>
                </c:pt>
                <c:pt idx="144">
                  <c:v>39957</c:v>
                </c:pt>
                <c:pt idx="145">
                  <c:v>39958</c:v>
                </c:pt>
                <c:pt idx="146">
                  <c:v>39959</c:v>
                </c:pt>
                <c:pt idx="147">
                  <c:v>39960</c:v>
                </c:pt>
                <c:pt idx="148">
                  <c:v>39961</c:v>
                </c:pt>
                <c:pt idx="149">
                  <c:v>39962</c:v>
                </c:pt>
                <c:pt idx="150">
                  <c:v>39963</c:v>
                </c:pt>
                <c:pt idx="151">
                  <c:v>39964</c:v>
                </c:pt>
                <c:pt idx="152">
                  <c:v>39965</c:v>
                </c:pt>
                <c:pt idx="153">
                  <c:v>39966</c:v>
                </c:pt>
                <c:pt idx="154">
                  <c:v>39967</c:v>
                </c:pt>
                <c:pt idx="155">
                  <c:v>39968</c:v>
                </c:pt>
                <c:pt idx="156">
                  <c:v>39969</c:v>
                </c:pt>
                <c:pt idx="157">
                  <c:v>39970</c:v>
                </c:pt>
                <c:pt idx="158">
                  <c:v>39971</c:v>
                </c:pt>
                <c:pt idx="159">
                  <c:v>39972</c:v>
                </c:pt>
                <c:pt idx="160">
                  <c:v>39973</c:v>
                </c:pt>
                <c:pt idx="161">
                  <c:v>39974</c:v>
                </c:pt>
                <c:pt idx="162">
                  <c:v>39975</c:v>
                </c:pt>
                <c:pt idx="163">
                  <c:v>39976</c:v>
                </c:pt>
                <c:pt idx="164">
                  <c:v>39977</c:v>
                </c:pt>
                <c:pt idx="165">
                  <c:v>39978</c:v>
                </c:pt>
                <c:pt idx="166">
                  <c:v>39979</c:v>
                </c:pt>
                <c:pt idx="167">
                  <c:v>39980</c:v>
                </c:pt>
                <c:pt idx="168">
                  <c:v>39981</c:v>
                </c:pt>
                <c:pt idx="169">
                  <c:v>39982</c:v>
                </c:pt>
                <c:pt idx="170">
                  <c:v>39983</c:v>
                </c:pt>
                <c:pt idx="171">
                  <c:v>39984</c:v>
                </c:pt>
                <c:pt idx="172">
                  <c:v>39985</c:v>
                </c:pt>
                <c:pt idx="173">
                  <c:v>39986</c:v>
                </c:pt>
                <c:pt idx="174">
                  <c:v>39987</c:v>
                </c:pt>
                <c:pt idx="175">
                  <c:v>39988</c:v>
                </c:pt>
                <c:pt idx="176">
                  <c:v>39989</c:v>
                </c:pt>
                <c:pt idx="177">
                  <c:v>39990</c:v>
                </c:pt>
                <c:pt idx="178">
                  <c:v>39991</c:v>
                </c:pt>
                <c:pt idx="179">
                  <c:v>39992</c:v>
                </c:pt>
                <c:pt idx="180">
                  <c:v>39993</c:v>
                </c:pt>
                <c:pt idx="181">
                  <c:v>39994</c:v>
                </c:pt>
                <c:pt idx="182">
                  <c:v>39995</c:v>
                </c:pt>
                <c:pt idx="183">
                  <c:v>39996</c:v>
                </c:pt>
                <c:pt idx="184">
                  <c:v>39997</c:v>
                </c:pt>
                <c:pt idx="185">
                  <c:v>39998</c:v>
                </c:pt>
                <c:pt idx="186">
                  <c:v>39999</c:v>
                </c:pt>
                <c:pt idx="187">
                  <c:v>40000</c:v>
                </c:pt>
                <c:pt idx="188">
                  <c:v>40001</c:v>
                </c:pt>
                <c:pt idx="189">
                  <c:v>40002</c:v>
                </c:pt>
                <c:pt idx="190">
                  <c:v>40003</c:v>
                </c:pt>
                <c:pt idx="191">
                  <c:v>40004</c:v>
                </c:pt>
                <c:pt idx="192">
                  <c:v>40005</c:v>
                </c:pt>
                <c:pt idx="193">
                  <c:v>40006</c:v>
                </c:pt>
                <c:pt idx="194">
                  <c:v>40007</c:v>
                </c:pt>
                <c:pt idx="195">
                  <c:v>40008</c:v>
                </c:pt>
                <c:pt idx="196">
                  <c:v>40009</c:v>
                </c:pt>
                <c:pt idx="197">
                  <c:v>40010</c:v>
                </c:pt>
                <c:pt idx="198">
                  <c:v>40011</c:v>
                </c:pt>
                <c:pt idx="199">
                  <c:v>40012</c:v>
                </c:pt>
                <c:pt idx="200">
                  <c:v>40013</c:v>
                </c:pt>
                <c:pt idx="201">
                  <c:v>40014</c:v>
                </c:pt>
                <c:pt idx="202">
                  <c:v>40015</c:v>
                </c:pt>
                <c:pt idx="203">
                  <c:v>40016</c:v>
                </c:pt>
                <c:pt idx="204">
                  <c:v>40017</c:v>
                </c:pt>
                <c:pt idx="205">
                  <c:v>40018</c:v>
                </c:pt>
                <c:pt idx="206">
                  <c:v>40019</c:v>
                </c:pt>
                <c:pt idx="207">
                  <c:v>40020</c:v>
                </c:pt>
                <c:pt idx="208">
                  <c:v>40021</c:v>
                </c:pt>
                <c:pt idx="209">
                  <c:v>40022</c:v>
                </c:pt>
                <c:pt idx="210">
                  <c:v>40023</c:v>
                </c:pt>
                <c:pt idx="211">
                  <c:v>40024</c:v>
                </c:pt>
                <c:pt idx="212">
                  <c:v>40025</c:v>
                </c:pt>
                <c:pt idx="213">
                  <c:v>40026</c:v>
                </c:pt>
                <c:pt idx="214">
                  <c:v>40027</c:v>
                </c:pt>
                <c:pt idx="215">
                  <c:v>40028</c:v>
                </c:pt>
                <c:pt idx="216">
                  <c:v>40029</c:v>
                </c:pt>
                <c:pt idx="217">
                  <c:v>40030</c:v>
                </c:pt>
                <c:pt idx="218">
                  <c:v>40031</c:v>
                </c:pt>
                <c:pt idx="219">
                  <c:v>40032</c:v>
                </c:pt>
                <c:pt idx="220">
                  <c:v>40033</c:v>
                </c:pt>
                <c:pt idx="221">
                  <c:v>40034</c:v>
                </c:pt>
                <c:pt idx="222">
                  <c:v>40035</c:v>
                </c:pt>
                <c:pt idx="223">
                  <c:v>40036</c:v>
                </c:pt>
                <c:pt idx="224">
                  <c:v>40037</c:v>
                </c:pt>
                <c:pt idx="225">
                  <c:v>40038</c:v>
                </c:pt>
                <c:pt idx="226">
                  <c:v>40039</c:v>
                </c:pt>
                <c:pt idx="227">
                  <c:v>40040</c:v>
                </c:pt>
                <c:pt idx="228">
                  <c:v>40041</c:v>
                </c:pt>
                <c:pt idx="229">
                  <c:v>40042</c:v>
                </c:pt>
                <c:pt idx="230">
                  <c:v>40043</c:v>
                </c:pt>
                <c:pt idx="231">
                  <c:v>40044</c:v>
                </c:pt>
                <c:pt idx="232">
                  <c:v>40045</c:v>
                </c:pt>
                <c:pt idx="233">
                  <c:v>40046</c:v>
                </c:pt>
                <c:pt idx="234">
                  <c:v>40047</c:v>
                </c:pt>
                <c:pt idx="235">
                  <c:v>40048</c:v>
                </c:pt>
                <c:pt idx="236">
                  <c:v>40049</c:v>
                </c:pt>
                <c:pt idx="237">
                  <c:v>40050</c:v>
                </c:pt>
                <c:pt idx="238">
                  <c:v>40051</c:v>
                </c:pt>
                <c:pt idx="239">
                  <c:v>40052</c:v>
                </c:pt>
                <c:pt idx="240">
                  <c:v>40053</c:v>
                </c:pt>
                <c:pt idx="241">
                  <c:v>40054</c:v>
                </c:pt>
                <c:pt idx="242">
                  <c:v>40055</c:v>
                </c:pt>
                <c:pt idx="243">
                  <c:v>40056</c:v>
                </c:pt>
                <c:pt idx="244">
                  <c:v>40057</c:v>
                </c:pt>
                <c:pt idx="245">
                  <c:v>40058</c:v>
                </c:pt>
                <c:pt idx="246">
                  <c:v>40059</c:v>
                </c:pt>
                <c:pt idx="247">
                  <c:v>40060</c:v>
                </c:pt>
                <c:pt idx="248">
                  <c:v>40061</c:v>
                </c:pt>
                <c:pt idx="249">
                  <c:v>40062</c:v>
                </c:pt>
                <c:pt idx="250">
                  <c:v>40063</c:v>
                </c:pt>
                <c:pt idx="251">
                  <c:v>40064</c:v>
                </c:pt>
                <c:pt idx="252">
                  <c:v>40065</c:v>
                </c:pt>
                <c:pt idx="253">
                  <c:v>40066</c:v>
                </c:pt>
                <c:pt idx="254">
                  <c:v>40067</c:v>
                </c:pt>
                <c:pt idx="255">
                  <c:v>40068</c:v>
                </c:pt>
                <c:pt idx="256">
                  <c:v>40069</c:v>
                </c:pt>
                <c:pt idx="257">
                  <c:v>40070</c:v>
                </c:pt>
                <c:pt idx="258">
                  <c:v>40071</c:v>
                </c:pt>
                <c:pt idx="259">
                  <c:v>40072</c:v>
                </c:pt>
                <c:pt idx="260">
                  <c:v>40073</c:v>
                </c:pt>
                <c:pt idx="261">
                  <c:v>40074</c:v>
                </c:pt>
                <c:pt idx="262">
                  <c:v>40075</c:v>
                </c:pt>
                <c:pt idx="263">
                  <c:v>40076</c:v>
                </c:pt>
                <c:pt idx="264">
                  <c:v>40077</c:v>
                </c:pt>
                <c:pt idx="265">
                  <c:v>40078</c:v>
                </c:pt>
                <c:pt idx="266">
                  <c:v>40079</c:v>
                </c:pt>
                <c:pt idx="267">
                  <c:v>40080</c:v>
                </c:pt>
                <c:pt idx="268">
                  <c:v>40081</c:v>
                </c:pt>
                <c:pt idx="269">
                  <c:v>40082</c:v>
                </c:pt>
                <c:pt idx="270">
                  <c:v>40083</c:v>
                </c:pt>
                <c:pt idx="271">
                  <c:v>40084</c:v>
                </c:pt>
                <c:pt idx="272">
                  <c:v>40085</c:v>
                </c:pt>
                <c:pt idx="273">
                  <c:v>40086</c:v>
                </c:pt>
                <c:pt idx="274">
                  <c:v>40087</c:v>
                </c:pt>
                <c:pt idx="275">
                  <c:v>40088</c:v>
                </c:pt>
                <c:pt idx="276">
                  <c:v>40089</c:v>
                </c:pt>
                <c:pt idx="277">
                  <c:v>40090</c:v>
                </c:pt>
                <c:pt idx="278">
                  <c:v>40091</c:v>
                </c:pt>
                <c:pt idx="279">
                  <c:v>40092</c:v>
                </c:pt>
                <c:pt idx="280">
                  <c:v>40093</c:v>
                </c:pt>
                <c:pt idx="281">
                  <c:v>40094</c:v>
                </c:pt>
                <c:pt idx="282">
                  <c:v>40095</c:v>
                </c:pt>
                <c:pt idx="283">
                  <c:v>40096</c:v>
                </c:pt>
                <c:pt idx="284">
                  <c:v>40097</c:v>
                </c:pt>
                <c:pt idx="285">
                  <c:v>40098</c:v>
                </c:pt>
                <c:pt idx="286">
                  <c:v>40099</c:v>
                </c:pt>
                <c:pt idx="287">
                  <c:v>40100</c:v>
                </c:pt>
                <c:pt idx="288">
                  <c:v>40101</c:v>
                </c:pt>
                <c:pt idx="289">
                  <c:v>40102</c:v>
                </c:pt>
                <c:pt idx="290">
                  <c:v>40103</c:v>
                </c:pt>
                <c:pt idx="291">
                  <c:v>40104</c:v>
                </c:pt>
                <c:pt idx="292">
                  <c:v>40105</c:v>
                </c:pt>
                <c:pt idx="293">
                  <c:v>40106</c:v>
                </c:pt>
                <c:pt idx="294">
                  <c:v>40107</c:v>
                </c:pt>
                <c:pt idx="295">
                  <c:v>40108</c:v>
                </c:pt>
                <c:pt idx="296">
                  <c:v>40109</c:v>
                </c:pt>
                <c:pt idx="297">
                  <c:v>40110</c:v>
                </c:pt>
                <c:pt idx="298">
                  <c:v>40111</c:v>
                </c:pt>
                <c:pt idx="299">
                  <c:v>40112</c:v>
                </c:pt>
                <c:pt idx="300">
                  <c:v>40113</c:v>
                </c:pt>
                <c:pt idx="301">
                  <c:v>40114</c:v>
                </c:pt>
                <c:pt idx="302">
                  <c:v>40115</c:v>
                </c:pt>
                <c:pt idx="303">
                  <c:v>40116</c:v>
                </c:pt>
                <c:pt idx="304">
                  <c:v>40117</c:v>
                </c:pt>
                <c:pt idx="305">
                  <c:v>40118</c:v>
                </c:pt>
                <c:pt idx="306">
                  <c:v>40119</c:v>
                </c:pt>
                <c:pt idx="307">
                  <c:v>40120</c:v>
                </c:pt>
                <c:pt idx="308">
                  <c:v>40121</c:v>
                </c:pt>
                <c:pt idx="309">
                  <c:v>40122</c:v>
                </c:pt>
                <c:pt idx="310">
                  <c:v>40123</c:v>
                </c:pt>
                <c:pt idx="311">
                  <c:v>40124</c:v>
                </c:pt>
                <c:pt idx="312">
                  <c:v>40125</c:v>
                </c:pt>
                <c:pt idx="313">
                  <c:v>40126</c:v>
                </c:pt>
                <c:pt idx="314">
                  <c:v>40127</c:v>
                </c:pt>
                <c:pt idx="315">
                  <c:v>40128</c:v>
                </c:pt>
                <c:pt idx="316">
                  <c:v>40129</c:v>
                </c:pt>
                <c:pt idx="317">
                  <c:v>40130</c:v>
                </c:pt>
                <c:pt idx="318">
                  <c:v>40131</c:v>
                </c:pt>
                <c:pt idx="319">
                  <c:v>40132</c:v>
                </c:pt>
                <c:pt idx="320">
                  <c:v>40133</c:v>
                </c:pt>
                <c:pt idx="321">
                  <c:v>40134</c:v>
                </c:pt>
                <c:pt idx="322">
                  <c:v>40135</c:v>
                </c:pt>
                <c:pt idx="323">
                  <c:v>40136</c:v>
                </c:pt>
                <c:pt idx="324">
                  <c:v>40137</c:v>
                </c:pt>
                <c:pt idx="325">
                  <c:v>40138</c:v>
                </c:pt>
                <c:pt idx="326">
                  <c:v>40139</c:v>
                </c:pt>
                <c:pt idx="327">
                  <c:v>40140</c:v>
                </c:pt>
                <c:pt idx="328">
                  <c:v>40141</c:v>
                </c:pt>
                <c:pt idx="329">
                  <c:v>40142</c:v>
                </c:pt>
                <c:pt idx="330">
                  <c:v>40143</c:v>
                </c:pt>
                <c:pt idx="331">
                  <c:v>40144</c:v>
                </c:pt>
                <c:pt idx="332">
                  <c:v>40145</c:v>
                </c:pt>
                <c:pt idx="333">
                  <c:v>40146</c:v>
                </c:pt>
                <c:pt idx="334">
                  <c:v>40147</c:v>
                </c:pt>
                <c:pt idx="335">
                  <c:v>40148</c:v>
                </c:pt>
                <c:pt idx="336">
                  <c:v>40149</c:v>
                </c:pt>
                <c:pt idx="337">
                  <c:v>40150</c:v>
                </c:pt>
                <c:pt idx="338">
                  <c:v>40151</c:v>
                </c:pt>
                <c:pt idx="339">
                  <c:v>40152</c:v>
                </c:pt>
                <c:pt idx="340">
                  <c:v>40153</c:v>
                </c:pt>
                <c:pt idx="341">
                  <c:v>40154</c:v>
                </c:pt>
                <c:pt idx="342">
                  <c:v>40155</c:v>
                </c:pt>
                <c:pt idx="343">
                  <c:v>40156</c:v>
                </c:pt>
                <c:pt idx="344">
                  <c:v>40157</c:v>
                </c:pt>
                <c:pt idx="345">
                  <c:v>40158</c:v>
                </c:pt>
                <c:pt idx="346">
                  <c:v>40159</c:v>
                </c:pt>
                <c:pt idx="347">
                  <c:v>40160</c:v>
                </c:pt>
                <c:pt idx="348">
                  <c:v>40161</c:v>
                </c:pt>
                <c:pt idx="349">
                  <c:v>40162</c:v>
                </c:pt>
                <c:pt idx="350">
                  <c:v>40163</c:v>
                </c:pt>
                <c:pt idx="351">
                  <c:v>40164</c:v>
                </c:pt>
                <c:pt idx="352">
                  <c:v>40165</c:v>
                </c:pt>
                <c:pt idx="353">
                  <c:v>40166</c:v>
                </c:pt>
                <c:pt idx="354">
                  <c:v>40167</c:v>
                </c:pt>
                <c:pt idx="355">
                  <c:v>40168</c:v>
                </c:pt>
                <c:pt idx="356">
                  <c:v>40169</c:v>
                </c:pt>
                <c:pt idx="357">
                  <c:v>40170</c:v>
                </c:pt>
                <c:pt idx="358">
                  <c:v>40171</c:v>
                </c:pt>
                <c:pt idx="359">
                  <c:v>40172</c:v>
                </c:pt>
                <c:pt idx="360">
                  <c:v>40173</c:v>
                </c:pt>
                <c:pt idx="361">
                  <c:v>40174</c:v>
                </c:pt>
                <c:pt idx="362">
                  <c:v>40175</c:v>
                </c:pt>
                <c:pt idx="363">
                  <c:v>40176</c:v>
                </c:pt>
                <c:pt idx="364">
                  <c:v>40177</c:v>
                </c:pt>
                <c:pt idx="365">
                  <c:v>40178</c:v>
                </c:pt>
              </c:numCache>
            </c:numRef>
          </c:cat>
          <c:val>
            <c:numRef>
              <c:f>'HDD&amp;CDD'!$AJ$2:$AJ$368</c:f>
              <c:numCache>
                <c:formatCode>General</c:formatCode>
                <c:ptCount val="367"/>
                <c:pt idx="0">
                  <c:v>8.7000000000000011</c:v>
                </c:pt>
                <c:pt idx="1">
                  <c:v>8.9</c:v>
                </c:pt>
                <c:pt idx="2">
                  <c:v>8.5</c:v>
                </c:pt>
                <c:pt idx="3">
                  <c:v>8.6</c:v>
                </c:pt>
                <c:pt idx="4">
                  <c:v>8.1</c:v>
                </c:pt>
                <c:pt idx="5">
                  <c:v>8.4</c:v>
                </c:pt>
                <c:pt idx="6">
                  <c:v>8.2000000000000011</c:v>
                </c:pt>
                <c:pt idx="7">
                  <c:v>8.2000000000000011</c:v>
                </c:pt>
                <c:pt idx="8">
                  <c:v>7.7</c:v>
                </c:pt>
                <c:pt idx="9">
                  <c:v>7.9</c:v>
                </c:pt>
                <c:pt idx="10">
                  <c:v>7.8</c:v>
                </c:pt>
                <c:pt idx="11">
                  <c:v>8.3000000000000007</c:v>
                </c:pt>
                <c:pt idx="12">
                  <c:v>7.5</c:v>
                </c:pt>
                <c:pt idx="13">
                  <c:v>7.9</c:v>
                </c:pt>
                <c:pt idx="14">
                  <c:v>8.4</c:v>
                </c:pt>
                <c:pt idx="15">
                  <c:v>8.4</c:v>
                </c:pt>
                <c:pt idx="16">
                  <c:v>8.2000000000000011</c:v>
                </c:pt>
                <c:pt idx="17">
                  <c:v>8.4</c:v>
                </c:pt>
                <c:pt idx="18">
                  <c:v>8.9</c:v>
                </c:pt>
                <c:pt idx="19">
                  <c:v>9.5</c:v>
                </c:pt>
                <c:pt idx="20">
                  <c:v>9</c:v>
                </c:pt>
                <c:pt idx="21">
                  <c:v>8.4</c:v>
                </c:pt>
                <c:pt idx="22">
                  <c:v>8.5</c:v>
                </c:pt>
                <c:pt idx="23">
                  <c:v>8</c:v>
                </c:pt>
                <c:pt idx="24">
                  <c:v>7.7</c:v>
                </c:pt>
                <c:pt idx="25">
                  <c:v>7.9</c:v>
                </c:pt>
                <c:pt idx="26">
                  <c:v>8.3000000000000007</c:v>
                </c:pt>
                <c:pt idx="27">
                  <c:v>8.4</c:v>
                </c:pt>
                <c:pt idx="28">
                  <c:v>9.1</c:v>
                </c:pt>
                <c:pt idx="29">
                  <c:v>8.9</c:v>
                </c:pt>
                <c:pt idx="30">
                  <c:v>8.9</c:v>
                </c:pt>
                <c:pt idx="31">
                  <c:v>8.8000000000000007</c:v>
                </c:pt>
                <c:pt idx="32">
                  <c:v>8.3000000000000007</c:v>
                </c:pt>
                <c:pt idx="33">
                  <c:v>8.2000000000000011</c:v>
                </c:pt>
                <c:pt idx="34">
                  <c:v>7.7</c:v>
                </c:pt>
                <c:pt idx="35">
                  <c:v>7.3</c:v>
                </c:pt>
                <c:pt idx="36">
                  <c:v>6.9</c:v>
                </c:pt>
                <c:pt idx="37">
                  <c:v>7.8</c:v>
                </c:pt>
                <c:pt idx="38">
                  <c:v>7.8</c:v>
                </c:pt>
                <c:pt idx="39">
                  <c:v>7.8</c:v>
                </c:pt>
                <c:pt idx="40">
                  <c:v>7.5</c:v>
                </c:pt>
                <c:pt idx="41">
                  <c:v>7.4</c:v>
                </c:pt>
                <c:pt idx="42">
                  <c:v>7.6</c:v>
                </c:pt>
                <c:pt idx="43">
                  <c:v>7.9</c:v>
                </c:pt>
                <c:pt idx="44">
                  <c:v>7.6</c:v>
                </c:pt>
                <c:pt idx="45">
                  <c:v>7.3</c:v>
                </c:pt>
                <c:pt idx="46">
                  <c:v>7</c:v>
                </c:pt>
                <c:pt idx="47">
                  <c:v>7.2</c:v>
                </c:pt>
                <c:pt idx="48">
                  <c:v>7.6</c:v>
                </c:pt>
                <c:pt idx="49">
                  <c:v>8</c:v>
                </c:pt>
                <c:pt idx="50">
                  <c:v>7.8</c:v>
                </c:pt>
                <c:pt idx="51">
                  <c:v>8</c:v>
                </c:pt>
                <c:pt idx="52">
                  <c:v>7</c:v>
                </c:pt>
                <c:pt idx="53">
                  <c:v>7</c:v>
                </c:pt>
                <c:pt idx="54">
                  <c:v>6.9</c:v>
                </c:pt>
                <c:pt idx="55">
                  <c:v>6.9</c:v>
                </c:pt>
                <c:pt idx="56">
                  <c:v>7.1</c:v>
                </c:pt>
                <c:pt idx="57">
                  <c:v>7</c:v>
                </c:pt>
                <c:pt idx="58">
                  <c:v>6.8</c:v>
                </c:pt>
                <c:pt idx="59">
                  <c:v>6.7</c:v>
                </c:pt>
                <c:pt idx="60">
                  <c:v>7</c:v>
                </c:pt>
                <c:pt idx="61">
                  <c:v>7.3</c:v>
                </c:pt>
                <c:pt idx="62">
                  <c:v>7.5</c:v>
                </c:pt>
                <c:pt idx="63">
                  <c:v>7.1</c:v>
                </c:pt>
                <c:pt idx="64">
                  <c:v>7</c:v>
                </c:pt>
                <c:pt idx="65">
                  <c:v>6</c:v>
                </c:pt>
                <c:pt idx="66">
                  <c:v>5.9</c:v>
                </c:pt>
                <c:pt idx="67">
                  <c:v>6.1</c:v>
                </c:pt>
                <c:pt idx="68">
                  <c:v>6.5</c:v>
                </c:pt>
                <c:pt idx="69">
                  <c:v>6.8</c:v>
                </c:pt>
                <c:pt idx="70">
                  <c:v>6.6</c:v>
                </c:pt>
                <c:pt idx="71">
                  <c:v>6</c:v>
                </c:pt>
                <c:pt idx="72">
                  <c:v>6.3</c:v>
                </c:pt>
                <c:pt idx="73">
                  <c:v>6.2</c:v>
                </c:pt>
                <c:pt idx="74">
                  <c:v>6.2</c:v>
                </c:pt>
                <c:pt idx="75">
                  <c:v>5.7</c:v>
                </c:pt>
                <c:pt idx="76">
                  <c:v>5.5</c:v>
                </c:pt>
                <c:pt idx="77">
                  <c:v>5.4</c:v>
                </c:pt>
                <c:pt idx="78">
                  <c:v>5.6</c:v>
                </c:pt>
                <c:pt idx="79">
                  <c:v>5.3</c:v>
                </c:pt>
                <c:pt idx="80">
                  <c:v>6</c:v>
                </c:pt>
                <c:pt idx="81">
                  <c:v>6.2</c:v>
                </c:pt>
                <c:pt idx="82">
                  <c:v>6.6</c:v>
                </c:pt>
                <c:pt idx="83">
                  <c:v>6</c:v>
                </c:pt>
                <c:pt idx="84">
                  <c:v>6.3</c:v>
                </c:pt>
                <c:pt idx="85">
                  <c:v>5.4</c:v>
                </c:pt>
                <c:pt idx="86">
                  <c:v>5.2</c:v>
                </c:pt>
                <c:pt idx="87">
                  <c:v>5.5</c:v>
                </c:pt>
                <c:pt idx="88">
                  <c:v>5.6</c:v>
                </c:pt>
                <c:pt idx="89">
                  <c:v>5.0999999999999996</c:v>
                </c:pt>
                <c:pt idx="90">
                  <c:v>5</c:v>
                </c:pt>
                <c:pt idx="91">
                  <c:v>5.6</c:v>
                </c:pt>
                <c:pt idx="92">
                  <c:v>5.5</c:v>
                </c:pt>
                <c:pt idx="93">
                  <c:v>5.4</c:v>
                </c:pt>
                <c:pt idx="94">
                  <c:v>5.2</c:v>
                </c:pt>
                <c:pt idx="95">
                  <c:v>4.8</c:v>
                </c:pt>
                <c:pt idx="96">
                  <c:v>4.9000000000000004</c:v>
                </c:pt>
                <c:pt idx="97">
                  <c:v>4.5999999999999996</c:v>
                </c:pt>
                <c:pt idx="98">
                  <c:v>4.8</c:v>
                </c:pt>
                <c:pt idx="99">
                  <c:v>4.7</c:v>
                </c:pt>
                <c:pt idx="100">
                  <c:v>4.4000000000000004</c:v>
                </c:pt>
                <c:pt idx="101">
                  <c:v>4.5</c:v>
                </c:pt>
                <c:pt idx="102">
                  <c:v>4.3</c:v>
                </c:pt>
                <c:pt idx="103">
                  <c:v>4.2</c:v>
                </c:pt>
                <c:pt idx="104">
                  <c:v>4.2</c:v>
                </c:pt>
                <c:pt idx="105">
                  <c:v>3.8</c:v>
                </c:pt>
                <c:pt idx="106">
                  <c:v>4.2</c:v>
                </c:pt>
                <c:pt idx="107">
                  <c:v>4</c:v>
                </c:pt>
                <c:pt idx="108">
                  <c:v>4</c:v>
                </c:pt>
                <c:pt idx="109">
                  <c:v>3.9</c:v>
                </c:pt>
                <c:pt idx="110">
                  <c:v>3.8</c:v>
                </c:pt>
                <c:pt idx="111">
                  <c:v>4.0999999999999996</c:v>
                </c:pt>
                <c:pt idx="112">
                  <c:v>4.4000000000000004</c:v>
                </c:pt>
                <c:pt idx="113">
                  <c:v>4.4000000000000004</c:v>
                </c:pt>
                <c:pt idx="114">
                  <c:v>4.0999999999999996</c:v>
                </c:pt>
                <c:pt idx="115">
                  <c:v>3.9</c:v>
                </c:pt>
                <c:pt idx="116">
                  <c:v>4</c:v>
                </c:pt>
                <c:pt idx="117">
                  <c:v>4.0999999999999996</c:v>
                </c:pt>
                <c:pt idx="118">
                  <c:v>4.3</c:v>
                </c:pt>
                <c:pt idx="119">
                  <c:v>4.2</c:v>
                </c:pt>
                <c:pt idx="120">
                  <c:v>3.7</c:v>
                </c:pt>
                <c:pt idx="121">
                  <c:v>3.2</c:v>
                </c:pt>
                <c:pt idx="122">
                  <c:v>2.8</c:v>
                </c:pt>
                <c:pt idx="123">
                  <c:v>2.7</c:v>
                </c:pt>
                <c:pt idx="124">
                  <c:v>2.9</c:v>
                </c:pt>
                <c:pt idx="125">
                  <c:v>3.2</c:v>
                </c:pt>
                <c:pt idx="126">
                  <c:v>2.9</c:v>
                </c:pt>
                <c:pt idx="127">
                  <c:v>3.3</c:v>
                </c:pt>
                <c:pt idx="128">
                  <c:v>3</c:v>
                </c:pt>
                <c:pt idx="129">
                  <c:v>3.1</c:v>
                </c:pt>
                <c:pt idx="130">
                  <c:v>3</c:v>
                </c:pt>
                <c:pt idx="131">
                  <c:v>2.2999999999999998</c:v>
                </c:pt>
                <c:pt idx="132">
                  <c:v>2.2999999999999998</c:v>
                </c:pt>
                <c:pt idx="133">
                  <c:v>2.2999999999999998</c:v>
                </c:pt>
                <c:pt idx="134">
                  <c:v>2.4</c:v>
                </c:pt>
                <c:pt idx="135">
                  <c:v>2.4</c:v>
                </c:pt>
                <c:pt idx="136">
                  <c:v>2.4</c:v>
                </c:pt>
                <c:pt idx="137">
                  <c:v>2.2000000000000002</c:v>
                </c:pt>
                <c:pt idx="138">
                  <c:v>2.1</c:v>
                </c:pt>
                <c:pt idx="139">
                  <c:v>2.2999999999999998</c:v>
                </c:pt>
                <c:pt idx="140">
                  <c:v>2.2999999999999998</c:v>
                </c:pt>
                <c:pt idx="141">
                  <c:v>2.2000000000000002</c:v>
                </c:pt>
                <c:pt idx="142">
                  <c:v>2.1</c:v>
                </c:pt>
                <c:pt idx="143">
                  <c:v>2</c:v>
                </c:pt>
                <c:pt idx="144">
                  <c:v>2.2000000000000002</c:v>
                </c:pt>
                <c:pt idx="145">
                  <c:v>2.2999999999999998</c:v>
                </c:pt>
                <c:pt idx="146">
                  <c:v>1.9000000000000001</c:v>
                </c:pt>
                <c:pt idx="147">
                  <c:v>1.9000000000000001</c:v>
                </c:pt>
                <c:pt idx="148">
                  <c:v>1.8</c:v>
                </c:pt>
                <c:pt idx="149">
                  <c:v>1.8</c:v>
                </c:pt>
                <c:pt idx="150">
                  <c:v>2.1</c:v>
                </c:pt>
                <c:pt idx="151">
                  <c:v>1.9000000000000001</c:v>
                </c:pt>
                <c:pt idx="152">
                  <c:v>1.5</c:v>
                </c:pt>
                <c:pt idx="153">
                  <c:v>1.2</c:v>
                </c:pt>
                <c:pt idx="154">
                  <c:v>1.4</c:v>
                </c:pt>
                <c:pt idx="155">
                  <c:v>1.2</c:v>
                </c:pt>
                <c:pt idx="156">
                  <c:v>1.4</c:v>
                </c:pt>
                <c:pt idx="157">
                  <c:v>1.4</c:v>
                </c:pt>
                <c:pt idx="158">
                  <c:v>1.1000000000000001</c:v>
                </c:pt>
                <c:pt idx="159">
                  <c:v>0.9</c:v>
                </c:pt>
                <c:pt idx="160">
                  <c:v>0.8</c:v>
                </c:pt>
                <c:pt idx="161">
                  <c:v>0.8</c:v>
                </c:pt>
                <c:pt idx="162">
                  <c:v>0.70000000000000062</c:v>
                </c:pt>
                <c:pt idx="163">
                  <c:v>0.60000000000000064</c:v>
                </c:pt>
                <c:pt idx="164">
                  <c:v>0.5</c:v>
                </c:pt>
                <c:pt idx="165">
                  <c:v>0.60000000000000064</c:v>
                </c:pt>
                <c:pt idx="166">
                  <c:v>0.60000000000000064</c:v>
                </c:pt>
                <c:pt idx="167">
                  <c:v>0.70000000000000062</c:v>
                </c:pt>
                <c:pt idx="168">
                  <c:v>0.5</c:v>
                </c:pt>
                <c:pt idx="169">
                  <c:v>0.30000000000000032</c:v>
                </c:pt>
                <c:pt idx="170">
                  <c:v>0.4</c:v>
                </c:pt>
                <c:pt idx="171">
                  <c:v>0.4</c:v>
                </c:pt>
                <c:pt idx="172">
                  <c:v>0.4</c:v>
                </c:pt>
                <c:pt idx="173">
                  <c:v>0.30000000000000032</c:v>
                </c:pt>
                <c:pt idx="174">
                  <c:v>0.30000000000000032</c:v>
                </c:pt>
                <c:pt idx="175">
                  <c:v>0.30000000000000032</c:v>
                </c:pt>
                <c:pt idx="176">
                  <c:v>0.2</c:v>
                </c:pt>
                <c:pt idx="177">
                  <c:v>0.1</c:v>
                </c:pt>
                <c:pt idx="178">
                  <c:v>0.2</c:v>
                </c:pt>
                <c:pt idx="179">
                  <c:v>0.1</c:v>
                </c:pt>
                <c:pt idx="180">
                  <c:v>0.1</c:v>
                </c:pt>
                <c:pt idx="181">
                  <c:v>0</c:v>
                </c:pt>
                <c:pt idx="182">
                  <c:v>0.1</c:v>
                </c:pt>
                <c:pt idx="183">
                  <c:v>0</c:v>
                </c:pt>
                <c:pt idx="184">
                  <c:v>0.1</c:v>
                </c:pt>
                <c:pt idx="185">
                  <c:v>0</c:v>
                </c:pt>
                <c:pt idx="186">
                  <c:v>0</c:v>
                </c:pt>
                <c:pt idx="187">
                  <c:v>0</c:v>
                </c:pt>
                <c:pt idx="188">
                  <c:v>0</c:v>
                </c:pt>
                <c:pt idx="189">
                  <c:v>0.1</c:v>
                </c:pt>
                <c:pt idx="190">
                  <c:v>0.1</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0.1</c:v>
                </c:pt>
                <c:pt idx="246">
                  <c:v>0.1</c:v>
                </c:pt>
                <c:pt idx="247">
                  <c:v>0</c:v>
                </c:pt>
                <c:pt idx="248">
                  <c:v>0.1</c:v>
                </c:pt>
                <c:pt idx="249">
                  <c:v>0</c:v>
                </c:pt>
                <c:pt idx="250">
                  <c:v>0.1</c:v>
                </c:pt>
                <c:pt idx="251">
                  <c:v>0</c:v>
                </c:pt>
                <c:pt idx="252">
                  <c:v>0</c:v>
                </c:pt>
                <c:pt idx="253">
                  <c:v>0.1</c:v>
                </c:pt>
                <c:pt idx="254">
                  <c:v>0.1</c:v>
                </c:pt>
                <c:pt idx="255">
                  <c:v>0.1</c:v>
                </c:pt>
                <c:pt idx="256">
                  <c:v>0.1</c:v>
                </c:pt>
                <c:pt idx="257">
                  <c:v>0.1</c:v>
                </c:pt>
                <c:pt idx="258">
                  <c:v>0</c:v>
                </c:pt>
                <c:pt idx="259">
                  <c:v>0.1</c:v>
                </c:pt>
                <c:pt idx="260">
                  <c:v>0.1</c:v>
                </c:pt>
                <c:pt idx="261">
                  <c:v>0</c:v>
                </c:pt>
                <c:pt idx="262">
                  <c:v>0.1</c:v>
                </c:pt>
                <c:pt idx="263">
                  <c:v>0.1</c:v>
                </c:pt>
                <c:pt idx="264">
                  <c:v>0.1</c:v>
                </c:pt>
                <c:pt idx="265">
                  <c:v>0.1</c:v>
                </c:pt>
                <c:pt idx="266">
                  <c:v>0.2</c:v>
                </c:pt>
                <c:pt idx="267">
                  <c:v>0.2</c:v>
                </c:pt>
                <c:pt idx="268">
                  <c:v>0.30000000000000032</c:v>
                </c:pt>
                <c:pt idx="269">
                  <c:v>0.1</c:v>
                </c:pt>
                <c:pt idx="270">
                  <c:v>0.1</c:v>
                </c:pt>
                <c:pt idx="271">
                  <c:v>0.1</c:v>
                </c:pt>
                <c:pt idx="272">
                  <c:v>0.2</c:v>
                </c:pt>
                <c:pt idx="273">
                  <c:v>0.2</c:v>
                </c:pt>
                <c:pt idx="274">
                  <c:v>0.4</c:v>
                </c:pt>
                <c:pt idx="275">
                  <c:v>0.5</c:v>
                </c:pt>
                <c:pt idx="276">
                  <c:v>0.5</c:v>
                </c:pt>
                <c:pt idx="277">
                  <c:v>0.60000000000000064</c:v>
                </c:pt>
                <c:pt idx="278">
                  <c:v>0.60000000000000064</c:v>
                </c:pt>
                <c:pt idx="279">
                  <c:v>0.5</c:v>
                </c:pt>
                <c:pt idx="280">
                  <c:v>0.70000000000000062</c:v>
                </c:pt>
                <c:pt idx="281">
                  <c:v>0.60000000000000064</c:v>
                </c:pt>
                <c:pt idx="282">
                  <c:v>0.70000000000000062</c:v>
                </c:pt>
                <c:pt idx="283">
                  <c:v>0.8</c:v>
                </c:pt>
                <c:pt idx="284">
                  <c:v>0.8</c:v>
                </c:pt>
                <c:pt idx="285">
                  <c:v>0.8</c:v>
                </c:pt>
                <c:pt idx="286">
                  <c:v>0.8</c:v>
                </c:pt>
                <c:pt idx="287">
                  <c:v>0.9</c:v>
                </c:pt>
                <c:pt idx="288">
                  <c:v>1</c:v>
                </c:pt>
                <c:pt idx="289">
                  <c:v>1.1000000000000001</c:v>
                </c:pt>
                <c:pt idx="290">
                  <c:v>1</c:v>
                </c:pt>
                <c:pt idx="291">
                  <c:v>1.1000000000000001</c:v>
                </c:pt>
                <c:pt idx="292">
                  <c:v>1.1000000000000001</c:v>
                </c:pt>
                <c:pt idx="293">
                  <c:v>1.4</c:v>
                </c:pt>
                <c:pt idx="294">
                  <c:v>1.2</c:v>
                </c:pt>
                <c:pt idx="295">
                  <c:v>1.1000000000000001</c:v>
                </c:pt>
                <c:pt idx="296">
                  <c:v>1</c:v>
                </c:pt>
                <c:pt idx="297">
                  <c:v>1</c:v>
                </c:pt>
                <c:pt idx="298">
                  <c:v>1.2</c:v>
                </c:pt>
                <c:pt idx="299">
                  <c:v>1.4</c:v>
                </c:pt>
                <c:pt idx="300">
                  <c:v>1.9000000000000001</c:v>
                </c:pt>
                <c:pt idx="301">
                  <c:v>2.2000000000000002</c:v>
                </c:pt>
                <c:pt idx="302">
                  <c:v>2.4</c:v>
                </c:pt>
                <c:pt idx="303">
                  <c:v>2.5</c:v>
                </c:pt>
                <c:pt idx="304">
                  <c:v>2.2000000000000002</c:v>
                </c:pt>
                <c:pt idx="305">
                  <c:v>1.7</c:v>
                </c:pt>
                <c:pt idx="306">
                  <c:v>1.8</c:v>
                </c:pt>
                <c:pt idx="307">
                  <c:v>2.2999999999999998</c:v>
                </c:pt>
                <c:pt idx="308">
                  <c:v>2.5</c:v>
                </c:pt>
                <c:pt idx="309">
                  <c:v>2.6</c:v>
                </c:pt>
                <c:pt idx="310">
                  <c:v>2.6</c:v>
                </c:pt>
                <c:pt idx="311">
                  <c:v>2.6</c:v>
                </c:pt>
                <c:pt idx="312">
                  <c:v>2.6</c:v>
                </c:pt>
                <c:pt idx="313">
                  <c:v>2.7</c:v>
                </c:pt>
                <c:pt idx="314">
                  <c:v>3.2</c:v>
                </c:pt>
                <c:pt idx="315">
                  <c:v>4</c:v>
                </c:pt>
                <c:pt idx="316">
                  <c:v>3.8</c:v>
                </c:pt>
                <c:pt idx="317">
                  <c:v>4.0999999999999996</c:v>
                </c:pt>
                <c:pt idx="318">
                  <c:v>4.0999999999999996</c:v>
                </c:pt>
                <c:pt idx="319">
                  <c:v>3.7</c:v>
                </c:pt>
                <c:pt idx="320">
                  <c:v>3.6</c:v>
                </c:pt>
                <c:pt idx="321">
                  <c:v>3.9</c:v>
                </c:pt>
                <c:pt idx="322">
                  <c:v>3.7</c:v>
                </c:pt>
                <c:pt idx="323">
                  <c:v>4</c:v>
                </c:pt>
                <c:pt idx="324">
                  <c:v>3.7</c:v>
                </c:pt>
                <c:pt idx="325">
                  <c:v>4</c:v>
                </c:pt>
                <c:pt idx="326">
                  <c:v>4.3</c:v>
                </c:pt>
                <c:pt idx="327">
                  <c:v>4.3</c:v>
                </c:pt>
                <c:pt idx="328">
                  <c:v>4.3</c:v>
                </c:pt>
                <c:pt idx="329">
                  <c:v>4.0999999999999996</c:v>
                </c:pt>
                <c:pt idx="330">
                  <c:v>4.0999999999999996</c:v>
                </c:pt>
                <c:pt idx="331">
                  <c:v>4.8</c:v>
                </c:pt>
                <c:pt idx="332">
                  <c:v>5</c:v>
                </c:pt>
                <c:pt idx="333">
                  <c:v>5.2</c:v>
                </c:pt>
                <c:pt idx="334">
                  <c:v>5.5</c:v>
                </c:pt>
                <c:pt idx="335">
                  <c:v>5.8</c:v>
                </c:pt>
                <c:pt idx="336">
                  <c:v>5.4</c:v>
                </c:pt>
                <c:pt idx="337">
                  <c:v>5.5</c:v>
                </c:pt>
                <c:pt idx="338">
                  <c:v>5.5</c:v>
                </c:pt>
                <c:pt idx="339">
                  <c:v>6</c:v>
                </c:pt>
                <c:pt idx="340">
                  <c:v>6.1</c:v>
                </c:pt>
                <c:pt idx="341">
                  <c:v>6.5</c:v>
                </c:pt>
                <c:pt idx="342">
                  <c:v>6.8</c:v>
                </c:pt>
                <c:pt idx="343">
                  <c:v>6.7</c:v>
                </c:pt>
                <c:pt idx="344">
                  <c:v>7</c:v>
                </c:pt>
                <c:pt idx="345">
                  <c:v>7.3</c:v>
                </c:pt>
                <c:pt idx="346">
                  <c:v>7.3</c:v>
                </c:pt>
                <c:pt idx="347">
                  <c:v>7.8</c:v>
                </c:pt>
                <c:pt idx="348">
                  <c:v>7.4</c:v>
                </c:pt>
                <c:pt idx="349">
                  <c:v>7.1</c:v>
                </c:pt>
                <c:pt idx="350">
                  <c:v>6.9</c:v>
                </c:pt>
                <c:pt idx="351">
                  <c:v>7.2</c:v>
                </c:pt>
                <c:pt idx="352">
                  <c:v>7.5</c:v>
                </c:pt>
                <c:pt idx="353">
                  <c:v>7.3</c:v>
                </c:pt>
                <c:pt idx="354">
                  <c:v>7.3</c:v>
                </c:pt>
                <c:pt idx="355">
                  <c:v>7.6</c:v>
                </c:pt>
                <c:pt idx="356">
                  <c:v>8</c:v>
                </c:pt>
                <c:pt idx="357">
                  <c:v>8.2000000000000011</c:v>
                </c:pt>
                <c:pt idx="358">
                  <c:v>8.4</c:v>
                </c:pt>
                <c:pt idx="359">
                  <c:v>8.9</c:v>
                </c:pt>
                <c:pt idx="360">
                  <c:v>8.6</c:v>
                </c:pt>
                <c:pt idx="361">
                  <c:v>8.5</c:v>
                </c:pt>
                <c:pt idx="362">
                  <c:v>8.4</c:v>
                </c:pt>
                <c:pt idx="363">
                  <c:v>8.3000000000000007</c:v>
                </c:pt>
                <c:pt idx="364">
                  <c:v>8.4</c:v>
                </c:pt>
                <c:pt idx="365">
                  <c:v>8.6</c:v>
                </c:pt>
              </c:numCache>
            </c:numRef>
          </c:val>
        </c:ser>
        <c:marker val="1"/>
        <c:axId val="105970304"/>
        <c:axId val="113090944"/>
      </c:lineChart>
      <c:dateAx>
        <c:axId val="105970304"/>
        <c:scaling>
          <c:orientation val="minMax"/>
        </c:scaling>
        <c:axPos val="b"/>
        <c:numFmt formatCode="mmm" sourceLinked="0"/>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13090944"/>
        <c:crossesAt val="-2"/>
        <c:auto val="1"/>
        <c:lblOffset val="100"/>
        <c:baseTimeUnit val="days"/>
        <c:majorUnit val="1"/>
        <c:majorTimeUnit val="months"/>
        <c:minorUnit val="1"/>
        <c:minorTimeUnit val="months"/>
      </c:dateAx>
      <c:valAx>
        <c:axId val="113090944"/>
        <c:scaling>
          <c:orientation val="minMax"/>
          <c:max val="10"/>
          <c:min val="-1"/>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05970304"/>
        <c:crosses val="autoZero"/>
        <c:crossBetween val="between"/>
      </c:valAx>
      <c:spPr>
        <a:noFill/>
        <a:ln w="25400">
          <a:noFill/>
        </a:ln>
      </c:spPr>
    </c:plotArea>
    <c:legend>
      <c:legendPos val="b"/>
      <c:layout>
        <c:manualLayout>
          <c:xMode val="edge"/>
          <c:yMode val="edge"/>
          <c:x val="0.37188612099644236"/>
          <c:y val="0.92465753424657648"/>
          <c:w val="0.30604982206405745"/>
          <c:h val="6.8493150684931503E-2"/>
        </c:manualLayout>
      </c:layout>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5943060498220691"/>
          <c:y val="2.0920502092050198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title>
    <c:plotArea>
      <c:layout>
        <c:manualLayout>
          <c:layoutTarget val="inner"/>
          <c:xMode val="edge"/>
          <c:yMode val="edge"/>
          <c:x val="6.2277580071174378E-2"/>
          <c:y val="0.21338912133891214"/>
          <c:w val="0.90569395017793597"/>
          <c:h val="0.53556485355648564"/>
        </c:manualLayout>
      </c:layout>
      <c:scatterChart>
        <c:scatterStyle val="lineMarker"/>
        <c:ser>
          <c:idx val="0"/>
          <c:order val="0"/>
          <c:tx>
            <c:strRef>
              <c:f>'ILI(T)'!$C$1</c:f>
              <c:strCache>
                <c:ptCount val="1"/>
                <c:pt idx="0">
                  <c:v>ILL as a function of temperature</c:v>
                </c:pt>
              </c:strCache>
            </c:strRef>
          </c:tx>
          <c:spPr>
            <a:ln w="12700">
              <a:solidFill>
                <a:srgbClr val="000080"/>
              </a:solidFill>
              <a:prstDash val="solid"/>
            </a:ln>
          </c:spPr>
          <c:marker>
            <c:symbol val="circle"/>
            <c:size val="3"/>
            <c:spPr>
              <a:solidFill>
                <a:srgbClr val="FFFFFF"/>
              </a:solidFill>
              <a:ln>
                <a:solidFill>
                  <a:srgbClr val="000080"/>
                </a:solidFill>
                <a:prstDash val="solid"/>
              </a:ln>
            </c:spPr>
          </c:marker>
          <c:xVal>
            <c:numRef>
              <c:f>'ILI(T)'!$B$2:$B$100</c:f>
              <c:numCache>
                <c:formatCode>General</c:formatCode>
                <c:ptCount val="99"/>
                <c:pt idx="0">
                  <c:v>47.142857142857153</c:v>
                </c:pt>
                <c:pt idx="1">
                  <c:v>48.559183673469342</c:v>
                </c:pt>
                <c:pt idx="2">
                  <c:v>49.975510204081687</c:v>
                </c:pt>
                <c:pt idx="3">
                  <c:v>51.391836734693875</c:v>
                </c:pt>
                <c:pt idx="4">
                  <c:v>52.808163265306078</c:v>
                </c:pt>
                <c:pt idx="5">
                  <c:v>54.224489795918345</c:v>
                </c:pt>
                <c:pt idx="6">
                  <c:v>55.640816326530611</c:v>
                </c:pt>
                <c:pt idx="7">
                  <c:v>57.057142857142821</c:v>
                </c:pt>
                <c:pt idx="8">
                  <c:v>58.473469387755095</c:v>
                </c:pt>
                <c:pt idx="9">
                  <c:v>59.889795918367348</c:v>
                </c:pt>
                <c:pt idx="10">
                  <c:v>61.306122448979636</c:v>
                </c:pt>
                <c:pt idx="11">
                  <c:v>62.722448979591896</c:v>
                </c:pt>
                <c:pt idx="12">
                  <c:v>64.138775510203899</c:v>
                </c:pt>
                <c:pt idx="13">
                  <c:v>65.555102040816308</c:v>
                </c:pt>
                <c:pt idx="14">
                  <c:v>66.971428571428518</c:v>
                </c:pt>
                <c:pt idx="15">
                  <c:v>68.387755102040728</c:v>
                </c:pt>
                <c:pt idx="16">
                  <c:v>69.804081632652924</c:v>
                </c:pt>
                <c:pt idx="17">
                  <c:v>71.220408163265219</c:v>
                </c:pt>
                <c:pt idx="18">
                  <c:v>72.636734693877543</c:v>
                </c:pt>
                <c:pt idx="19">
                  <c:v>74.053061224489639</c:v>
                </c:pt>
                <c:pt idx="20">
                  <c:v>75.469387755102062</c:v>
                </c:pt>
                <c:pt idx="21">
                  <c:v>76.885714285714286</c:v>
                </c:pt>
              </c:numCache>
            </c:numRef>
          </c:xVal>
          <c:yVal>
            <c:numRef>
              <c:f>'ILI(T)'!$C$2:$C$100</c:f>
              <c:numCache>
                <c:formatCode>General</c:formatCode>
                <c:ptCount val="99"/>
                <c:pt idx="0">
                  <c:v>0.63800000000000079</c:v>
                </c:pt>
                <c:pt idx="1">
                  <c:v>0.63800000000000079</c:v>
                </c:pt>
                <c:pt idx="2">
                  <c:v>2.2749999999999999</c:v>
                </c:pt>
                <c:pt idx="3">
                  <c:v>2.5883333333333352</c:v>
                </c:pt>
                <c:pt idx="4">
                  <c:v>3.2854285714285711</c:v>
                </c:pt>
                <c:pt idx="5">
                  <c:v>3.2257333333333342</c:v>
                </c:pt>
                <c:pt idx="6">
                  <c:v>2.690380952380957</c:v>
                </c:pt>
                <c:pt idx="7">
                  <c:v>2.6256538461538437</c:v>
                </c:pt>
                <c:pt idx="8">
                  <c:v>2.3321999999999972</c:v>
                </c:pt>
                <c:pt idx="9">
                  <c:v>1.7773999999999988</c:v>
                </c:pt>
                <c:pt idx="10">
                  <c:v>1.6774000000000004</c:v>
                </c:pt>
                <c:pt idx="11">
                  <c:v>1.5851764705882361</c:v>
                </c:pt>
                <c:pt idx="12">
                  <c:v>1.2441304347826085</c:v>
                </c:pt>
                <c:pt idx="13">
                  <c:v>1.1222272727272726</c:v>
                </c:pt>
                <c:pt idx="14">
                  <c:v>0.90199999999999991</c:v>
                </c:pt>
                <c:pt idx="15">
                  <c:v>0.81966666666666654</c:v>
                </c:pt>
                <c:pt idx="16">
                  <c:v>0.72266666666666668</c:v>
                </c:pt>
                <c:pt idx="17">
                  <c:v>0.81190000000000062</c:v>
                </c:pt>
                <c:pt idx="18">
                  <c:v>0.82114285714285762</c:v>
                </c:pt>
                <c:pt idx="19">
                  <c:v>0.80200000000000005</c:v>
                </c:pt>
                <c:pt idx="20">
                  <c:v>0.63500000000000079</c:v>
                </c:pt>
                <c:pt idx="21">
                  <c:v>0.63500000000000079</c:v>
                </c:pt>
              </c:numCache>
            </c:numRef>
          </c:yVal>
        </c:ser>
        <c:axId val="133487616"/>
        <c:axId val="134874240"/>
      </c:scatterChart>
      <c:valAx>
        <c:axId val="133487616"/>
        <c:scaling>
          <c:orientation val="minMax"/>
          <c:max val="80"/>
          <c:min val="40"/>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4874240"/>
        <c:crosses val="autoZero"/>
        <c:crossBetween val="midCat"/>
      </c:valAx>
      <c:valAx>
        <c:axId val="134874240"/>
        <c:scaling>
          <c:orientation val="minMax"/>
          <c:max val="3.5"/>
          <c:min val="0"/>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3487616"/>
        <c:crosses val="autoZero"/>
        <c:crossBetween val="midCat"/>
      </c:valAx>
      <c:spPr>
        <a:noFill/>
        <a:ln w="25400">
          <a:noFill/>
        </a:ln>
      </c:spPr>
    </c:plotArea>
    <c:legend>
      <c:legendPos val="b"/>
      <c:layout>
        <c:manualLayout>
          <c:xMode val="edge"/>
          <c:yMode val="edge"/>
          <c:x val="0.34519572953736655"/>
          <c:y val="0.90794979079497962"/>
          <c:w val="0.33807829181494786"/>
          <c:h val="8.3682008368201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9090909090909154"/>
          <c:y val="1.7857142857142856E-2"/>
        </c:manualLayout>
      </c:layout>
      <c:spPr>
        <a:noFill/>
        <a:ln w="25399">
          <a:noFill/>
        </a:ln>
      </c:spPr>
      <c:txPr>
        <a:bodyPr/>
        <a:lstStyle/>
        <a:p>
          <a:pPr>
            <a:defRPr sz="800" b="0" i="0" u="none" strike="noStrike" baseline="0">
              <a:solidFill>
                <a:srgbClr val="000000"/>
              </a:solidFill>
              <a:latin typeface="Arial"/>
              <a:ea typeface="Arial"/>
              <a:cs typeface="Arial"/>
            </a:defRPr>
          </a:pPr>
          <a:endParaRPr lang="en-US"/>
        </a:p>
      </c:txPr>
    </c:title>
    <c:plotArea>
      <c:layout>
        <c:manualLayout>
          <c:layoutTarget val="inner"/>
          <c:xMode val="edge"/>
          <c:yMode val="edge"/>
          <c:x val="6.363636363636363E-2"/>
          <c:y val="0.22321428571428589"/>
          <c:w val="0.90363636363636357"/>
          <c:h val="0.50892857142857229"/>
        </c:manualLayout>
      </c:layout>
      <c:scatterChart>
        <c:scatterStyle val="lineMarker"/>
        <c:ser>
          <c:idx val="0"/>
          <c:order val="0"/>
          <c:tx>
            <c:strRef>
              <c:f>'ILI(HDD)'!$C$1</c:f>
              <c:strCache>
                <c:ptCount val="1"/>
                <c:pt idx="0">
                  <c:v>ILL as a function of HDD</c:v>
                </c:pt>
              </c:strCache>
            </c:strRef>
          </c:tx>
          <c:spPr>
            <a:ln w="12700">
              <a:solidFill>
                <a:srgbClr val="000080"/>
              </a:solidFill>
              <a:prstDash val="solid"/>
            </a:ln>
          </c:spPr>
          <c:marker>
            <c:symbol val="circle"/>
            <c:size val="3"/>
            <c:spPr>
              <a:solidFill>
                <a:srgbClr val="FFFFFF"/>
              </a:solidFill>
              <a:ln>
                <a:solidFill>
                  <a:srgbClr val="000080"/>
                </a:solidFill>
                <a:prstDash val="solid"/>
              </a:ln>
            </c:spPr>
          </c:marker>
          <c:xVal>
            <c:numRef>
              <c:f>'ILI(HDD)'!$B$2:$B$23</c:f>
              <c:numCache>
                <c:formatCode>General</c:formatCode>
                <c:ptCount val="22"/>
                <c:pt idx="0">
                  <c:v>0</c:v>
                </c:pt>
                <c:pt idx="1">
                  <c:v>0.85034013605442238</c:v>
                </c:pt>
                <c:pt idx="2">
                  <c:v>1.7006802721088432</c:v>
                </c:pt>
                <c:pt idx="3">
                  <c:v>2.5510204081632621</c:v>
                </c:pt>
                <c:pt idx="4">
                  <c:v>3.4013605442176882</c:v>
                </c:pt>
                <c:pt idx="5">
                  <c:v>4.2517006802721147</c:v>
                </c:pt>
                <c:pt idx="6">
                  <c:v>5.1020408163265243</c:v>
                </c:pt>
                <c:pt idx="7">
                  <c:v>5.9523809523809454</c:v>
                </c:pt>
                <c:pt idx="8">
                  <c:v>6.8027210884353728</c:v>
                </c:pt>
                <c:pt idx="9">
                  <c:v>7.6530612244897949</c:v>
                </c:pt>
                <c:pt idx="10">
                  <c:v>8.5034013605442205</c:v>
                </c:pt>
                <c:pt idx="11">
                  <c:v>9.3537414965986478</c:v>
                </c:pt>
                <c:pt idx="12">
                  <c:v>10.204081632653049</c:v>
                </c:pt>
                <c:pt idx="13">
                  <c:v>11.054421768707481</c:v>
                </c:pt>
                <c:pt idx="14">
                  <c:v>11.904761904761902</c:v>
                </c:pt>
                <c:pt idx="15">
                  <c:v>12.755102040816325</c:v>
                </c:pt>
                <c:pt idx="16">
                  <c:v>13.605442176870756</c:v>
                </c:pt>
                <c:pt idx="17">
                  <c:v>14.455782312925187</c:v>
                </c:pt>
                <c:pt idx="18">
                  <c:v>15.30612244897959</c:v>
                </c:pt>
                <c:pt idx="19">
                  <c:v>16.15646258503401</c:v>
                </c:pt>
                <c:pt idx="20">
                  <c:v>17.006802721088459</c:v>
                </c:pt>
                <c:pt idx="21">
                  <c:v>17.857142857142833</c:v>
                </c:pt>
              </c:numCache>
            </c:numRef>
          </c:xVal>
          <c:yVal>
            <c:numRef>
              <c:f>'ILI(HDD)'!$C$2:$C$23</c:f>
              <c:numCache>
                <c:formatCode>General</c:formatCode>
                <c:ptCount val="22"/>
                <c:pt idx="0">
                  <c:v>0.95547272727272736</c:v>
                </c:pt>
                <c:pt idx="1">
                  <c:v>1.0152542372881341</c:v>
                </c:pt>
                <c:pt idx="2">
                  <c:v>1.1017910447761192</c:v>
                </c:pt>
                <c:pt idx="3">
                  <c:v>1.6318214285714288</c:v>
                </c:pt>
                <c:pt idx="4">
                  <c:v>1.6300689655172429</c:v>
                </c:pt>
                <c:pt idx="5">
                  <c:v>1.7539117647058824</c:v>
                </c:pt>
                <c:pt idx="6">
                  <c:v>1.9411590909090899</c:v>
                </c:pt>
                <c:pt idx="7">
                  <c:v>2.1278974358974385</c:v>
                </c:pt>
                <c:pt idx="8">
                  <c:v>2.3516571428571429</c:v>
                </c:pt>
                <c:pt idx="9">
                  <c:v>2.4360810810810807</c:v>
                </c:pt>
                <c:pt idx="10">
                  <c:v>2.679470588235294</c:v>
                </c:pt>
                <c:pt idx="11">
                  <c:v>2.778111111111115</c:v>
                </c:pt>
                <c:pt idx="12">
                  <c:v>3.0293333333333341</c:v>
                </c:pt>
                <c:pt idx="13">
                  <c:v>3.1331111111111141</c:v>
                </c:pt>
                <c:pt idx="14">
                  <c:v>3.4443846153846152</c:v>
                </c:pt>
                <c:pt idx="15">
                  <c:v>3.2854285714285711</c:v>
                </c:pt>
                <c:pt idx="16">
                  <c:v>2.9339999999999997</c:v>
                </c:pt>
                <c:pt idx="17">
                  <c:v>2.4645000000000001</c:v>
                </c:pt>
                <c:pt idx="18">
                  <c:v>2.2749999999999999</c:v>
                </c:pt>
                <c:pt idx="19">
                  <c:v>1.4564999999999986</c:v>
                </c:pt>
                <c:pt idx="20">
                  <c:v>0.63800000000000079</c:v>
                </c:pt>
                <c:pt idx="21">
                  <c:v>0.63800000000000079</c:v>
                </c:pt>
              </c:numCache>
            </c:numRef>
          </c:yVal>
        </c:ser>
        <c:axId val="135038080"/>
        <c:axId val="135040000"/>
      </c:scatterChart>
      <c:valAx>
        <c:axId val="13503808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5040000"/>
        <c:crosses val="autoZero"/>
        <c:crossBetween val="midCat"/>
        <c:majorUnit val="2"/>
      </c:valAx>
      <c:valAx>
        <c:axId val="135040000"/>
        <c:scaling>
          <c:orientation val="minMax"/>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5038080"/>
        <c:crosses val="autoZero"/>
        <c:crossBetween val="midCat"/>
      </c:valAx>
      <c:spPr>
        <a:noFill/>
        <a:ln w="25399">
          <a:noFill/>
        </a:ln>
      </c:spPr>
    </c:plotArea>
    <c:legend>
      <c:legendPos val="b"/>
      <c:layout>
        <c:manualLayout>
          <c:xMode val="edge"/>
          <c:yMode val="edge"/>
          <c:x val="0.37636363636363668"/>
          <c:y val="0.90178571428571463"/>
          <c:w val="0.27818181818181831"/>
          <c:h val="8.9285714285714135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2C4DE-56D8-44B6-BE84-8323680F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20</Pages>
  <Words>3345</Words>
  <Characters>19072</Characters>
  <Application>Microsoft Office Word</Application>
  <DocSecurity>0</DocSecurity>
  <Lines>158</Lines>
  <Paragraphs>44</Paragraphs>
  <ScaleCrop>false</ScaleCrop>
  <Company/>
  <LinksUpToDate>false</LinksUpToDate>
  <CharactersWithSpaces>22373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kasho</dc:creator>
  <cp:lastModifiedBy>kasho</cp:lastModifiedBy>
  <cp:revision>70</cp:revision>
  <cp:lastPrinted>2009-08-23T10:32:00Z</cp:lastPrinted>
  <dcterms:created xsi:type="dcterms:W3CDTF">2009-08-18T03:55:00Z</dcterms:created>
  <dcterms:modified xsi:type="dcterms:W3CDTF">2009-08-23T19:34:00Z</dcterms:modified>
</cp:coreProperties>
</file>